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F42B1">
      <w:pPr>
        <w:pStyle w:val="2"/>
        <w:spacing w:line="256" w:lineRule="auto"/>
      </w:pPr>
      <w:r>
        <w:drawing>
          <wp:anchor distT="0" distB="0" distL="0" distR="0" simplePos="0" relativeHeight="251659264" behindDoc="0" locked="0" layoutInCell="0" allowOverlap="1">
            <wp:simplePos x="0" y="0"/>
            <wp:positionH relativeFrom="page">
              <wp:posOffset>-1905</wp:posOffset>
            </wp:positionH>
            <wp:positionV relativeFrom="page">
              <wp:posOffset>-1905</wp:posOffset>
            </wp:positionV>
            <wp:extent cx="63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2"/>
                    <a:stretch>
                      <a:fillRect/>
                    </a:stretch>
                  </pic:blipFill>
                  <pic:spPr>
                    <a:xfrm>
                      <a:off x="0" y="0"/>
                      <a:ext cx="6350" cy="6350"/>
                    </a:xfrm>
                    <a:prstGeom prst="rect">
                      <a:avLst/>
                    </a:prstGeom>
                  </pic:spPr>
                </pic:pic>
              </a:graphicData>
            </a:graphic>
          </wp:anchor>
        </w:drawing>
      </w:r>
    </w:p>
    <w:p w14:paraId="7EC96F1F">
      <w:pPr>
        <w:pStyle w:val="2"/>
        <w:spacing w:line="256" w:lineRule="auto"/>
      </w:pPr>
    </w:p>
    <w:p w14:paraId="1F8AC669">
      <w:pPr>
        <w:pStyle w:val="2"/>
        <w:spacing w:line="256" w:lineRule="auto"/>
      </w:pPr>
    </w:p>
    <w:p w14:paraId="33698E30">
      <w:pPr>
        <w:pStyle w:val="2"/>
        <w:spacing w:line="257" w:lineRule="auto"/>
      </w:pPr>
    </w:p>
    <w:p w14:paraId="5EEB2FB7">
      <w:pPr>
        <w:pStyle w:val="2"/>
        <w:spacing w:line="257" w:lineRule="auto"/>
      </w:pPr>
    </w:p>
    <w:p w14:paraId="3F2285C7">
      <w:pPr>
        <w:pStyle w:val="2"/>
        <w:spacing w:line="257" w:lineRule="auto"/>
      </w:pPr>
    </w:p>
    <w:p w14:paraId="1FDF28E0">
      <w:pPr>
        <w:pStyle w:val="2"/>
        <w:spacing w:line="257" w:lineRule="auto"/>
      </w:pPr>
    </w:p>
    <w:p w14:paraId="2A1F5395">
      <w:pPr>
        <w:pStyle w:val="2"/>
        <w:spacing w:line="257" w:lineRule="auto"/>
      </w:pPr>
    </w:p>
    <w:p w14:paraId="5FDFDDD1">
      <w:pPr>
        <w:pStyle w:val="2"/>
        <w:spacing w:line="257" w:lineRule="auto"/>
      </w:pPr>
    </w:p>
    <w:p w14:paraId="1F732B6C">
      <w:pPr>
        <w:pStyle w:val="2"/>
        <w:spacing w:line="257" w:lineRule="auto"/>
      </w:pPr>
    </w:p>
    <w:p w14:paraId="3B2D0330">
      <w:pPr>
        <w:pStyle w:val="2"/>
        <w:spacing w:line="257" w:lineRule="auto"/>
      </w:pPr>
    </w:p>
    <w:p w14:paraId="4A6E9A73">
      <w:pPr>
        <w:pStyle w:val="2"/>
        <w:spacing w:line="257" w:lineRule="auto"/>
      </w:pPr>
    </w:p>
    <w:p w14:paraId="248CF101">
      <w:pPr>
        <w:pStyle w:val="2"/>
        <w:spacing w:line="257" w:lineRule="auto"/>
      </w:pPr>
    </w:p>
    <w:p w14:paraId="1EE4DD85">
      <w:pPr>
        <w:spacing w:line="1785" w:lineRule="exact"/>
        <w:ind w:firstLine="1914"/>
      </w:pPr>
      <w:r>
        <w:rPr>
          <w:position w:val="-35"/>
        </w:rPr>
        <w:drawing>
          <wp:inline distT="0" distB="0" distL="0" distR="0">
            <wp:extent cx="5299075" cy="11334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3"/>
                    <a:stretch>
                      <a:fillRect/>
                    </a:stretch>
                  </pic:blipFill>
                  <pic:spPr>
                    <a:xfrm>
                      <a:off x="0" y="0"/>
                      <a:ext cx="5299218" cy="1133588"/>
                    </a:xfrm>
                    <a:prstGeom prst="rect">
                      <a:avLst/>
                    </a:prstGeom>
                  </pic:spPr>
                </pic:pic>
              </a:graphicData>
            </a:graphic>
          </wp:inline>
        </w:drawing>
      </w:r>
    </w:p>
    <w:p w14:paraId="6ACC8E57">
      <w:pPr>
        <w:pStyle w:val="2"/>
        <w:spacing w:line="285" w:lineRule="auto"/>
      </w:pPr>
    </w:p>
    <w:p w14:paraId="757ED95B">
      <w:pPr>
        <w:pStyle w:val="2"/>
        <w:spacing w:line="285" w:lineRule="auto"/>
      </w:pPr>
    </w:p>
    <w:p w14:paraId="70A8164B">
      <w:pPr>
        <w:pStyle w:val="2"/>
        <w:spacing w:line="285" w:lineRule="auto"/>
      </w:pPr>
    </w:p>
    <w:p w14:paraId="1FD16216">
      <w:pPr>
        <w:spacing w:before="101" w:line="220" w:lineRule="auto"/>
        <w:ind w:left="4647"/>
        <w:rPr>
          <w:rFonts w:ascii="仿宋" w:hAnsi="仿宋" w:eastAsia="仿宋" w:cs="仿宋"/>
          <w:sz w:val="31"/>
          <w:szCs w:val="31"/>
        </w:rPr>
      </w:pPr>
      <w:r>
        <w:rPr>
          <w:rFonts w:ascii="仿宋" w:hAnsi="仿宋" w:eastAsia="仿宋" w:cs="仿宋"/>
          <w:spacing w:val="3"/>
          <w:sz w:val="31"/>
          <w:szCs w:val="31"/>
        </w:rPr>
        <w:t>阿府发〔2023〕4</w:t>
      </w:r>
      <w:r>
        <w:rPr>
          <w:rFonts w:ascii="仿宋" w:hAnsi="仿宋" w:eastAsia="仿宋" w:cs="仿宋"/>
          <w:spacing w:val="-48"/>
          <w:sz w:val="31"/>
          <w:szCs w:val="31"/>
        </w:rPr>
        <w:t xml:space="preserve"> </w:t>
      </w:r>
      <w:r>
        <w:rPr>
          <w:rFonts w:ascii="仿宋" w:hAnsi="仿宋" w:eastAsia="仿宋" w:cs="仿宋"/>
          <w:spacing w:val="3"/>
          <w:sz w:val="31"/>
          <w:szCs w:val="31"/>
        </w:rPr>
        <w:t>号</w:t>
      </w:r>
    </w:p>
    <w:p w14:paraId="799D0573">
      <w:pPr>
        <w:spacing w:before="75" w:line="35" w:lineRule="exact"/>
        <w:ind w:firstLine="1667"/>
      </w:pPr>
      <w:r>
        <w:pict>
          <v:shape id="_x0000_s1026" o:spid="_x0000_s1026" style="height:1.75pt;width:442.15pt;" filled="f" stroked="t" coordsize="8842,35" path="m0,17l8842,17e">
            <v:fill on="f" focussize="0,0"/>
            <v:stroke weight="1.75pt" color="#FF0000" miterlimit="10" joinstyle="miter"/>
            <v:imagedata o:title=""/>
            <o:lock v:ext="edit"/>
            <w10:wrap type="none"/>
            <w10:anchorlock/>
          </v:shape>
        </w:pict>
      </w:r>
    </w:p>
    <w:p w14:paraId="77F20095">
      <w:pPr>
        <w:pStyle w:val="2"/>
        <w:spacing w:line="333" w:lineRule="auto"/>
      </w:pPr>
    </w:p>
    <w:p w14:paraId="10372AB9">
      <w:pPr>
        <w:pStyle w:val="2"/>
        <w:spacing w:line="333" w:lineRule="auto"/>
      </w:pPr>
    </w:p>
    <w:p w14:paraId="27099F80">
      <w:pPr>
        <w:spacing w:before="139" w:line="217" w:lineRule="auto"/>
        <w:ind w:left="4488"/>
        <w:rPr>
          <w:rFonts w:ascii="宋体" w:hAnsi="宋体" w:eastAsia="宋体" w:cs="宋体"/>
          <w:sz w:val="43"/>
          <w:szCs w:val="43"/>
        </w:rPr>
      </w:pPr>
      <w:r>
        <w:rPr>
          <w:rFonts w:ascii="宋体" w:hAnsi="宋体" w:eastAsia="宋体" w:cs="宋体"/>
          <w:b/>
          <w:bCs/>
          <w:spacing w:val="1"/>
          <w:sz w:val="43"/>
          <w:szCs w:val="43"/>
        </w:rPr>
        <w:t>阿坝州人民政府</w:t>
      </w:r>
    </w:p>
    <w:p w14:paraId="7852E978">
      <w:pPr>
        <w:spacing w:before="60" w:line="576" w:lineRule="exact"/>
        <w:ind w:left="1617"/>
        <w:rPr>
          <w:rFonts w:ascii="宋体" w:hAnsi="宋体" w:eastAsia="宋体" w:cs="宋体"/>
          <w:sz w:val="43"/>
          <w:szCs w:val="43"/>
        </w:rPr>
      </w:pPr>
      <w:r>
        <w:rPr>
          <w:rFonts w:ascii="宋体" w:hAnsi="宋体" w:eastAsia="宋体" w:cs="宋体"/>
          <w:b/>
          <w:bCs/>
          <w:spacing w:val="4"/>
          <w:position w:val="2"/>
          <w:sz w:val="43"/>
          <w:szCs w:val="43"/>
        </w:rPr>
        <w:t>关于印发《阿坝藏族羌族自治州矿产资源总体</w:t>
      </w:r>
    </w:p>
    <w:p w14:paraId="6808C106">
      <w:pPr>
        <w:spacing w:line="592" w:lineRule="exact"/>
        <w:ind w:left="2877"/>
        <w:rPr>
          <w:rFonts w:ascii="宋体" w:hAnsi="宋体" w:eastAsia="宋体" w:cs="宋体"/>
          <w:sz w:val="43"/>
          <w:szCs w:val="43"/>
        </w:rPr>
      </w:pPr>
      <w:r>
        <w:rPr>
          <w:rFonts w:ascii="宋体" w:hAnsi="宋体" w:eastAsia="宋体" w:cs="宋体"/>
          <w:b/>
          <w:bCs/>
          <w:spacing w:val="-3"/>
          <w:position w:val="2"/>
          <w:sz w:val="43"/>
          <w:szCs w:val="43"/>
        </w:rPr>
        <w:t>规划（2021—2025</w:t>
      </w:r>
      <w:r>
        <w:rPr>
          <w:rFonts w:ascii="宋体" w:hAnsi="宋体" w:eastAsia="宋体" w:cs="宋体"/>
          <w:spacing w:val="-97"/>
          <w:position w:val="2"/>
          <w:sz w:val="43"/>
          <w:szCs w:val="43"/>
        </w:rPr>
        <w:t xml:space="preserve"> </w:t>
      </w:r>
      <w:r>
        <w:rPr>
          <w:rFonts w:ascii="宋体" w:hAnsi="宋体" w:eastAsia="宋体" w:cs="宋体"/>
          <w:b/>
          <w:bCs/>
          <w:spacing w:val="-3"/>
          <w:position w:val="2"/>
          <w:sz w:val="43"/>
          <w:szCs w:val="43"/>
        </w:rPr>
        <w:t>年）</w:t>
      </w:r>
      <w:r>
        <w:rPr>
          <w:rFonts w:ascii="宋体" w:hAnsi="宋体" w:eastAsia="宋体" w:cs="宋体"/>
          <w:spacing w:val="-118"/>
          <w:position w:val="2"/>
          <w:sz w:val="43"/>
          <w:szCs w:val="43"/>
        </w:rPr>
        <w:t xml:space="preserve"> </w:t>
      </w:r>
      <w:r>
        <w:rPr>
          <w:rFonts w:ascii="宋体" w:hAnsi="宋体" w:eastAsia="宋体" w:cs="宋体"/>
          <w:b/>
          <w:bCs/>
          <w:spacing w:val="-3"/>
          <w:position w:val="2"/>
          <w:sz w:val="43"/>
          <w:szCs w:val="43"/>
        </w:rPr>
        <w:t>》的通知</w:t>
      </w:r>
    </w:p>
    <w:p w14:paraId="72CBD062">
      <w:pPr>
        <w:pStyle w:val="2"/>
        <w:spacing w:line="288" w:lineRule="auto"/>
      </w:pPr>
    </w:p>
    <w:p w14:paraId="1DA0C95E">
      <w:pPr>
        <w:pStyle w:val="2"/>
        <w:spacing w:line="288" w:lineRule="auto"/>
      </w:pPr>
    </w:p>
    <w:p w14:paraId="47436DCF">
      <w:pPr>
        <w:spacing w:before="102" w:line="343" w:lineRule="auto"/>
        <w:ind w:left="1623" w:right="157" w:hanging="24"/>
        <w:rPr>
          <w:rFonts w:ascii="仿宋" w:hAnsi="仿宋" w:eastAsia="仿宋" w:cs="仿宋"/>
          <w:sz w:val="31"/>
          <w:szCs w:val="31"/>
        </w:rPr>
      </w:pPr>
      <w:r>
        <w:rPr>
          <w:rFonts w:ascii="仿宋" w:hAnsi="仿宋" w:eastAsia="仿宋" w:cs="仿宋"/>
          <w:spacing w:val="5"/>
          <w:sz w:val="31"/>
          <w:szCs w:val="31"/>
        </w:rPr>
        <w:t>各县（</w:t>
      </w:r>
      <w:r>
        <w:rPr>
          <w:rFonts w:ascii="仿宋" w:hAnsi="仿宋" w:eastAsia="仿宋" w:cs="仿宋"/>
          <w:spacing w:val="-68"/>
          <w:sz w:val="31"/>
          <w:szCs w:val="31"/>
        </w:rPr>
        <w:t xml:space="preserve"> </w:t>
      </w:r>
      <w:r>
        <w:rPr>
          <w:rFonts w:ascii="仿宋" w:hAnsi="仿宋" w:eastAsia="仿宋" w:cs="仿宋"/>
          <w:spacing w:val="5"/>
          <w:sz w:val="31"/>
          <w:szCs w:val="31"/>
        </w:rPr>
        <w:t>市）人民政府,州政府各部门、各直属机构，有关单位，</w:t>
      </w:r>
      <w:r>
        <w:rPr>
          <w:rFonts w:ascii="仿宋" w:hAnsi="仿宋" w:eastAsia="仿宋" w:cs="仿宋"/>
          <w:spacing w:val="3"/>
          <w:sz w:val="31"/>
          <w:szCs w:val="31"/>
        </w:rPr>
        <w:t>卧龙特别行政区：</w:t>
      </w:r>
    </w:p>
    <w:p w14:paraId="0E264E74">
      <w:pPr>
        <w:spacing w:line="341" w:lineRule="auto"/>
        <w:ind w:left="1610" w:right="72" w:firstLine="612"/>
        <w:rPr>
          <w:rFonts w:ascii="仿宋" w:hAnsi="仿宋" w:eastAsia="仿宋" w:cs="仿宋"/>
          <w:sz w:val="31"/>
          <w:szCs w:val="31"/>
        </w:rPr>
      </w:pPr>
      <w:r>
        <w:rPr>
          <w:rFonts w:ascii="仿宋" w:hAnsi="仿宋" w:eastAsia="仿宋" w:cs="仿宋"/>
          <w:spacing w:val="-6"/>
          <w:sz w:val="31"/>
          <w:szCs w:val="31"/>
        </w:rPr>
        <w:t>经四川省自然资源厅同意，现将《阿坝藏族羌族自治州矿产资</w:t>
      </w:r>
      <w:r>
        <w:rPr>
          <w:rFonts w:ascii="仿宋" w:hAnsi="仿宋" w:eastAsia="仿宋" w:cs="仿宋"/>
          <w:spacing w:val="-3"/>
          <w:sz w:val="31"/>
          <w:szCs w:val="31"/>
        </w:rPr>
        <w:t>源总体规划（2021—2025</w:t>
      </w:r>
      <w:r>
        <w:rPr>
          <w:rFonts w:ascii="仿宋" w:hAnsi="仿宋" w:eastAsia="仿宋" w:cs="仿宋"/>
          <w:spacing w:val="-45"/>
          <w:sz w:val="31"/>
          <w:szCs w:val="31"/>
        </w:rPr>
        <w:t xml:space="preserve"> </w:t>
      </w:r>
      <w:r>
        <w:rPr>
          <w:rFonts w:ascii="仿宋" w:hAnsi="仿宋" w:eastAsia="仿宋" w:cs="仿宋"/>
          <w:spacing w:val="-3"/>
          <w:sz w:val="31"/>
          <w:szCs w:val="31"/>
        </w:rPr>
        <w:t>年）》印发给你们，请认真组织实施。</w:t>
      </w:r>
    </w:p>
    <w:p w14:paraId="257E2E6B">
      <w:pPr>
        <w:spacing w:before="1" w:line="302" w:lineRule="auto"/>
        <w:ind w:left="1600" w:right="13" w:firstLine="636"/>
        <w:rPr>
          <w:rFonts w:ascii="仿宋" w:hAnsi="仿宋" w:eastAsia="仿宋" w:cs="仿宋"/>
          <w:sz w:val="31"/>
          <w:szCs w:val="31"/>
        </w:rPr>
      </w:pPr>
      <w:r>
        <w:rPr>
          <w:rFonts w:ascii="仿宋" w:hAnsi="仿宋" w:eastAsia="仿宋" w:cs="仿宋"/>
          <w:spacing w:val="5"/>
          <w:sz w:val="31"/>
          <w:szCs w:val="31"/>
        </w:rPr>
        <w:t>各级各部门要严格落实规划部署要求，</w:t>
      </w:r>
      <w:r>
        <w:rPr>
          <w:rFonts w:ascii="微软雅黑" w:hAnsi="微软雅黑" w:eastAsia="微软雅黑" w:cs="微软雅黑"/>
          <w:spacing w:val="5"/>
          <w:position w:val="1"/>
          <w:sz w:val="31"/>
          <w:szCs w:val="31"/>
        </w:rPr>
        <w:t>一是</w:t>
      </w:r>
      <w:r>
        <w:rPr>
          <w:rFonts w:ascii="仿宋" w:hAnsi="仿宋" w:eastAsia="仿宋" w:cs="仿宋"/>
          <w:spacing w:val="5"/>
          <w:sz w:val="31"/>
          <w:szCs w:val="31"/>
        </w:rPr>
        <w:t>统筹安排州级出</w:t>
      </w:r>
      <w:r>
        <w:rPr>
          <w:rFonts w:ascii="仿宋" w:hAnsi="仿宋" w:eastAsia="仿宋" w:cs="仿宋"/>
          <w:spacing w:val="-3"/>
          <w:sz w:val="31"/>
          <w:szCs w:val="31"/>
        </w:rPr>
        <w:t>让登记权限矿种勘查、开发利用和保护活动，</w:t>
      </w:r>
      <w:r>
        <w:rPr>
          <w:rFonts w:ascii="仿宋" w:hAnsi="仿宋" w:eastAsia="仿宋" w:cs="仿宋"/>
          <w:spacing w:val="-4"/>
          <w:sz w:val="31"/>
          <w:szCs w:val="31"/>
        </w:rPr>
        <w:t>推动矿业绿色发展，</w:t>
      </w:r>
      <w:r>
        <w:rPr>
          <w:rFonts w:ascii="仿宋" w:hAnsi="仿宋" w:eastAsia="仿宋" w:cs="仿宋"/>
          <w:spacing w:val="5"/>
          <w:sz w:val="31"/>
          <w:szCs w:val="31"/>
        </w:rPr>
        <w:t>确保资源供给与经济社会发展需求相适应，资源开发利用与生态环境保护相协调，规划管控与管理改革相衔接；</w:t>
      </w:r>
      <w:r>
        <w:rPr>
          <w:rFonts w:ascii="微软雅黑" w:hAnsi="微软雅黑" w:eastAsia="微软雅黑" w:cs="微软雅黑"/>
          <w:spacing w:val="5"/>
          <w:position w:val="1"/>
          <w:sz w:val="31"/>
          <w:szCs w:val="31"/>
        </w:rPr>
        <w:t>二是</w:t>
      </w:r>
      <w:r>
        <w:rPr>
          <w:rFonts w:ascii="仿宋" w:hAnsi="仿宋" w:eastAsia="仿宋" w:cs="仿宋"/>
          <w:spacing w:val="5"/>
          <w:sz w:val="31"/>
          <w:szCs w:val="31"/>
        </w:rPr>
        <w:t>切实发挥规</w:t>
      </w:r>
    </w:p>
    <w:p w14:paraId="5FDCFF0E">
      <w:pPr>
        <w:spacing w:line="302" w:lineRule="auto"/>
        <w:rPr>
          <w:rFonts w:ascii="仿宋" w:hAnsi="仿宋" w:eastAsia="仿宋" w:cs="仿宋"/>
          <w:sz w:val="31"/>
          <w:szCs w:val="31"/>
        </w:rPr>
        <w:sectPr>
          <w:pgSz w:w="11905" w:h="16837"/>
          <w:pgMar w:top="0" w:right="1394" w:bottom="0" w:left="0" w:header="0" w:footer="0" w:gutter="0"/>
          <w:cols w:space="720" w:num="1"/>
        </w:sectPr>
      </w:pPr>
    </w:p>
    <w:p w14:paraId="4A6DB966">
      <w:pPr>
        <w:pStyle w:val="2"/>
        <w:spacing w:line="242" w:lineRule="auto"/>
      </w:pPr>
    </w:p>
    <w:p w14:paraId="61162EBD">
      <w:pPr>
        <w:pStyle w:val="2"/>
        <w:spacing w:line="243" w:lineRule="auto"/>
      </w:pPr>
    </w:p>
    <w:p w14:paraId="7BE19E11">
      <w:pPr>
        <w:pStyle w:val="2"/>
        <w:spacing w:line="243" w:lineRule="auto"/>
      </w:pPr>
    </w:p>
    <w:p w14:paraId="3ECBB10E">
      <w:pPr>
        <w:spacing w:before="100" w:line="320" w:lineRule="auto"/>
        <w:ind w:firstLine="17"/>
        <w:jc w:val="both"/>
        <w:rPr>
          <w:rFonts w:ascii="仿宋" w:hAnsi="仿宋" w:eastAsia="仿宋" w:cs="仿宋"/>
          <w:sz w:val="31"/>
          <w:szCs w:val="31"/>
        </w:rPr>
      </w:pPr>
      <w:r>
        <w:rPr>
          <w:rFonts w:ascii="仿宋" w:hAnsi="仿宋" w:eastAsia="仿宋" w:cs="仿宋"/>
          <w:spacing w:val="5"/>
          <w:sz w:val="31"/>
          <w:szCs w:val="31"/>
        </w:rPr>
        <w:t>划指导和管控作用，认真抓好规划目标落地，落实总量</w:t>
      </w:r>
      <w:r>
        <w:rPr>
          <w:rFonts w:ascii="仿宋" w:hAnsi="仿宋" w:eastAsia="仿宋" w:cs="仿宋"/>
          <w:spacing w:val="4"/>
          <w:sz w:val="31"/>
          <w:szCs w:val="31"/>
        </w:rPr>
        <w:t>控制、分</w:t>
      </w:r>
      <w:r>
        <w:rPr>
          <w:rFonts w:ascii="仿宋" w:hAnsi="仿宋" w:eastAsia="仿宋" w:cs="仿宋"/>
          <w:spacing w:val="5"/>
          <w:sz w:val="31"/>
          <w:szCs w:val="31"/>
        </w:rPr>
        <w:t>区管理、开采准入等要求，积极推动锂、金、铁、锰、砂岩、页岩、地热、矿泉水等矿产合理勘查开发；</w:t>
      </w:r>
      <w:r>
        <w:rPr>
          <w:rFonts w:ascii="微软雅黑" w:hAnsi="微软雅黑" w:eastAsia="微软雅黑" w:cs="微软雅黑"/>
          <w:spacing w:val="5"/>
          <w:position w:val="1"/>
          <w:sz w:val="31"/>
          <w:szCs w:val="31"/>
        </w:rPr>
        <w:t>三是</w:t>
      </w:r>
      <w:r>
        <w:rPr>
          <w:rFonts w:ascii="仿宋" w:hAnsi="仿宋" w:eastAsia="仿宋" w:cs="仿宋"/>
          <w:spacing w:val="5"/>
          <w:sz w:val="31"/>
          <w:szCs w:val="31"/>
        </w:rPr>
        <w:t>严格落实规划区块准入要求，地热、矿泉水规划区块，确保在不影响周边或相邻一</w:t>
      </w:r>
      <w:r>
        <w:rPr>
          <w:rFonts w:ascii="仿宋" w:hAnsi="仿宋" w:eastAsia="仿宋" w:cs="仿宋"/>
          <w:spacing w:val="17"/>
          <w:sz w:val="31"/>
          <w:szCs w:val="31"/>
        </w:rPr>
        <w:t>定区域范围内地热、矿泉水及地下取水点开发的前提下有序出</w:t>
      </w:r>
      <w:r>
        <w:rPr>
          <w:rFonts w:ascii="仿宋" w:hAnsi="仿宋" w:eastAsia="仿宋" w:cs="仿宋"/>
          <w:spacing w:val="5"/>
          <w:sz w:val="31"/>
          <w:szCs w:val="31"/>
        </w:rPr>
        <w:t>让，严格控制砂石采矿权数量；</w:t>
      </w:r>
      <w:r>
        <w:rPr>
          <w:rFonts w:ascii="微软雅黑" w:hAnsi="微软雅黑" w:eastAsia="微软雅黑" w:cs="微软雅黑"/>
          <w:spacing w:val="5"/>
          <w:position w:val="1"/>
          <w:sz w:val="31"/>
          <w:szCs w:val="31"/>
        </w:rPr>
        <w:t>四是</w:t>
      </w:r>
      <w:r>
        <w:rPr>
          <w:rFonts w:ascii="仿宋" w:hAnsi="仿宋" w:eastAsia="仿宋" w:cs="仿宋"/>
          <w:spacing w:val="5"/>
          <w:sz w:val="31"/>
          <w:szCs w:val="31"/>
        </w:rPr>
        <w:t>做好规划的组织实施工作，加强领导，落实责任分工，完善政策措施，做好县级矿产资源总体规划实施工作，做好矿产资源规划评估与调整工作，形成推动</w:t>
      </w:r>
      <w:r>
        <w:rPr>
          <w:rFonts w:ascii="仿宋" w:hAnsi="仿宋" w:eastAsia="仿宋" w:cs="仿宋"/>
          <w:spacing w:val="9"/>
          <w:sz w:val="31"/>
          <w:szCs w:val="31"/>
        </w:rPr>
        <w:t>规划实施的合力，保障规划确定的各项目标和任务落地落实。</w:t>
      </w:r>
    </w:p>
    <w:p w14:paraId="1D2027D9">
      <w:pPr>
        <w:pStyle w:val="2"/>
        <w:spacing w:line="270" w:lineRule="auto"/>
      </w:pPr>
    </w:p>
    <w:p w14:paraId="642566ED">
      <w:pPr>
        <w:pStyle w:val="2"/>
        <w:spacing w:line="270" w:lineRule="auto"/>
      </w:pPr>
    </w:p>
    <w:p w14:paraId="118E5D44">
      <w:pPr>
        <w:pStyle w:val="2"/>
        <w:spacing w:line="271" w:lineRule="auto"/>
      </w:pPr>
    </w:p>
    <w:p w14:paraId="05055AA2">
      <w:pPr>
        <w:pStyle w:val="2"/>
        <w:spacing w:line="271" w:lineRule="auto"/>
      </w:pPr>
    </w:p>
    <w:p w14:paraId="1B44F871">
      <w:pPr>
        <w:pStyle w:val="2"/>
        <w:spacing w:line="2381" w:lineRule="exact"/>
        <w:ind w:firstLine="4947"/>
      </w:pPr>
      <w:r>
        <w:rPr>
          <w:position w:val="-47"/>
        </w:rPr>
        <w:pict>
          <v:group id="_x0000_s1027" o:spid="_x0000_s1027" o:spt="203" style="height:119.1pt;width:123.35pt;" coordsize="2466,2381">
            <o:lock v:ext="edit"/>
            <v:shape id="_x0000_s1028" o:spid="_x0000_s1028" o:spt="75" type="#_x0000_t75" style="position:absolute;left:0;top:0;height:2381;width:2381;" filled="f" stroked="f" coordsize="21600,21600">
              <v:path/>
              <v:fill on="f" focussize="0,0"/>
              <v:stroke on="f"/>
              <v:imagedata r:id="rId64" o:title=""/>
              <o:lock v:ext="edit" aspectratio="t"/>
            </v:shape>
            <v:shape id="_x0000_s1029" o:spid="_x0000_s1029" o:spt="202" type="#_x0000_t202" style="position:absolute;left:-20;top:-20;height:2421;width:2506;" filled="f" stroked="f" coordsize="21600,21600">
              <v:path/>
              <v:fill on="f" focussize="0,0"/>
              <v:stroke on="f"/>
              <v:imagedata o:title=""/>
              <o:lock v:ext="edit" aspectratio="f"/>
              <v:textbox inset="0mm,0mm,0mm,0mm">
                <w:txbxContent>
                  <w:p w14:paraId="0CF157B1">
                    <w:pPr>
                      <w:spacing w:line="278" w:lineRule="auto"/>
                      <w:rPr>
                        <w:rFonts w:ascii="Arial"/>
                        <w:sz w:val="21"/>
                      </w:rPr>
                    </w:pPr>
                  </w:p>
                  <w:p w14:paraId="4C5F2EE7">
                    <w:pPr>
                      <w:spacing w:line="279" w:lineRule="auto"/>
                      <w:rPr>
                        <w:rFonts w:ascii="Arial"/>
                        <w:sz w:val="21"/>
                      </w:rPr>
                    </w:pPr>
                  </w:p>
                  <w:p w14:paraId="1EB6B2ED">
                    <w:pPr>
                      <w:spacing w:line="279" w:lineRule="auto"/>
                      <w:rPr>
                        <w:rFonts w:ascii="Arial"/>
                        <w:sz w:val="21"/>
                      </w:rPr>
                    </w:pPr>
                  </w:p>
                  <w:p w14:paraId="1B327ECD">
                    <w:pPr>
                      <w:spacing w:before="101" w:line="220" w:lineRule="auto"/>
                      <w:ind w:left="60"/>
                      <w:rPr>
                        <w:rFonts w:ascii="仿宋" w:hAnsi="仿宋" w:eastAsia="仿宋" w:cs="仿宋"/>
                        <w:sz w:val="31"/>
                        <w:szCs w:val="31"/>
                      </w:rPr>
                    </w:pPr>
                    <w:r>
                      <w:rPr>
                        <w:rFonts w:ascii="仿宋" w:hAnsi="仿宋" w:eastAsia="仿宋" w:cs="仿宋"/>
                        <w:spacing w:val="4"/>
                        <w:sz w:val="31"/>
                        <w:szCs w:val="31"/>
                      </w:rPr>
                      <w:t>阿坝州人民政府</w:t>
                    </w:r>
                  </w:p>
                  <w:p w14:paraId="3F3E66F1">
                    <w:pPr>
                      <w:spacing w:before="173" w:line="221" w:lineRule="auto"/>
                      <w:jc w:val="right"/>
                      <w:rPr>
                        <w:rFonts w:ascii="仿宋" w:hAnsi="仿宋" w:eastAsia="仿宋" w:cs="仿宋"/>
                        <w:sz w:val="31"/>
                        <w:szCs w:val="31"/>
                      </w:rPr>
                    </w:pPr>
                    <w:r>
                      <w:rPr>
                        <w:rFonts w:ascii="仿宋" w:hAnsi="仿宋" w:eastAsia="仿宋" w:cs="仿宋"/>
                        <w:spacing w:val="-13"/>
                        <w:sz w:val="31"/>
                        <w:szCs w:val="31"/>
                      </w:rPr>
                      <w:t>2023</w:t>
                    </w:r>
                    <w:r>
                      <w:rPr>
                        <w:rFonts w:ascii="仿宋" w:hAnsi="仿宋" w:eastAsia="仿宋" w:cs="仿宋"/>
                        <w:spacing w:val="-55"/>
                        <w:sz w:val="31"/>
                        <w:szCs w:val="31"/>
                      </w:rPr>
                      <w:t xml:space="preserve"> </w:t>
                    </w:r>
                    <w:r>
                      <w:rPr>
                        <w:rFonts w:ascii="仿宋" w:hAnsi="仿宋" w:eastAsia="仿宋" w:cs="仿宋"/>
                        <w:spacing w:val="-13"/>
                        <w:sz w:val="31"/>
                        <w:szCs w:val="31"/>
                      </w:rPr>
                      <w:t>年</w:t>
                    </w:r>
                    <w:r>
                      <w:rPr>
                        <w:rFonts w:ascii="仿宋" w:hAnsi="仿宋" w:eastAsia="仿宋" w:cs="仿宋"/>
                        <w:spacing w:val="-48"/>
                        <w:sz w:val="31"/>
                        <w:szCs w:val="31"/>
                      </w:rPr>
                      <w:t xml:space="preserve"> </w:t>
                    </w:r>
                    <w:r>
                      <w:rPr>
                        <w:rFonts w:ascii="仿宋" w:hAnsi="仿宋" w:eastAsia="仿宋" w:cs="仿宋"/>
                        <w:spacing w:val="-13"/>
                        <w:sz w:val="31"/>
                        <w:szCs w:val="31"/>
                      </w:rPr>
                      <w:t>2</w:t>
                    </w:r>
                    <w:r>
                      <w:rPr>
                        <w:rFonts w:ascii="仿宋" w:hAnsi="仿宋" w:eastAsia="仿宋" w:cs="仿宋"/>
                        <w:spacing w:val="-45"/>
                        <w:sz w:val="31"/>
                        <w:szCs w:val="31"/>
                      </w:rPr>
                      <w:t xml:space="preserve"> </w:t>
                    </w:r>
                    <w:r>
                      <w:rPr>
                        <w:rFonts w:ascii="仿宋" w:hAnsi="仿宋" w:eastAsia="仿宋" w:cs="仿宋"/>
                        <w:spacing w:val="-13"/>
                        <w:sz w:val="31"/>
                        <w:szCs w:val="31"/>
                      </w:rPr>
                      <w:t>月</w:t>
                    </w:r>
                    <w:r>
                      <w:rPr>
                        <w:rFonts w:ascii="仿宋" w:hAnsi="仿宋" w:eastAsia="仿宋" w:cs="仿宋"/>
                        <w:spacing w:val="-49"/>
                        <w:sz w:val="31"/>
                        <w:szCs w:val="31"/>
                      </w:rPr>
                      <w:t xml:space="preserve"> </w:t>
                    </w:r>
                    <w:r>
                      <w:rPr>
                        <w:rFonts w:ascii="仿宋" w:hAnsi="仿宋" w:eastAsia="仿宋" w:cs="仿宋"/>
                        <w:spacing w:val="-13"/>
                        <w:sz w:val="31"/>
                        <w:szCs w:val="31"/>
                      </w:rPr>
                      <w:t>28 日</w:t>
                    </w:r>
                  </w:p>
                </w:txbxContent>
              </v:textbox>
            </v:shape>
            <w10:wrap type="none"/>
            <w10:anchorlock/>
          </v:group>
        </w:pict>
      </w:r>
    </w:p>
    <w:p w14:paraId="3E3E6070">
      <w:pPr>
        <w:spacing w:line="2381" w:lineRule="exact"/>
        <w:sectPr>
          <w:pgSz w:w="11905" w:h="16837"/>
          <w:pgMar w:top="1431" w:right="1476" w:bottom="0" w:left="1593" w:header="0" w:footer="0" w:gutter="0"/>
          <w:cols w:space="720" w:num="1"/>
        </w:sectPr>
      </w:pPr>
    </w:p>
    <w:p w14:paraId="6D5C9A94">
      <w:pPr>
        <w:pStyle w:val="2"/>
        <w:spacing w:line="323" w:lineRule="auto"/>
      </w:pPr>
    </w:p>
    <w:p w14:paraId="6E6F8839">
      <w:pPr>
        <w:pStyle w:val="2"/>
        <w:spacing w:line="323" w:lineRule="auto"/>
      </w:pPr>
    </w:p>
    <w:p w14:paraId="17908A44">
      <w:pPr>
        <w:spacing w:before="169" w:line="354" w:lineRule="auto"/>
        <w:ind w:left="1698" w:right="1369" w:hanging="302"/>
        <w:rPr>
          <w:rFonts w:ascii="宋体" w:hAnsi="宋体" w:eastAsia="宋体" w:cs="宋体"/>
          <w:sz w:val="52"/>
          <w:szCs w:val="52"/>
        </w:rPr>
      </w:pPr>
      <w:r>
        <w:rPr>
          <w:rFonts w:ascii="宋体" w:hAnsi="宋体" w:eastAsia="宋体" w:cs="宋体"/>
          <w:b/>
          <w:bCs/>
          <w:spacing w:val="92"/>
          <w:sz w:val="52"/>
          <w:szCs w:val="52"/>
        </w:rPr>
        <w:t>阿坝藏族羌族自治州</w:t>
      </w:r>
      <w:r>
        <w:rPr>
          <w:rFonts w:ascii="宋体" w:hAnsi="宋体" w:eastAsia="宋体" w:cs="宋体"/>
          <w:b/>
          <w:bCs/>
          <w:spacing w:val="93"/>
          <w:sz w:val="52"/>
          <w:szCs w:val="52"/>
        </w:rPr>
        <w:t>矿产资源总体规划</w:t>
      </w:r>
    </w:p>
    <w:p w14:paraId="2B7BC444">
      <w:pPr>
        <w:pStyle w:val="2"/>
        <w:spacing w:line="306" w:lineRule="auto"/>
      </w:pPr>
    </w:p>
    <w:p w14:paraId="57FEAE5D">
      <w:pPr>
        <w:pStyle w:val="2"/>
        <w:spacing w:before="141" w:line="354" w:lineRule="exact"/>
        <w:ind w:left="3078"/>
        <w:rPr>
          <w:rFonts w:ascii="微软雅黑" w:hAnsi="微软雅黑" w:eastAsia="微软雅黑" w:cs="微软雅黑"/>
          <w:sz w:val="33"/>
          <w:szCs w:val="33"/>
        </w:rPr>
      </w:pPr>
      <w:r>
        <w:rPr>
          <w:spacing w:val="14"/>
          <w:sz w:val="33"/>
          <w:szCs w:val="33"/>
        </w:rPr>
        <w:t>( 2021</w:t>
      </w:r>
      <w:r>
        <w:rPr>
          <w:spacing w:val="-40"/>
          <w:sz w:val="33"/>
          <w:szCs w:val="33"/>
        </w:rPr>
        <w:t xml:space="preserve"> </w:t>
      </w:r>
      <w:r>
        <w:rPr>
          <w:spacing w:val="14"/>
          <w:sz w:val="33"/>
          <w:szCs w:val="33"/>
        </w:rPr>
        <w:t>-</w:t>
      </w:r>
      <w:r>
        <w:rPr>
          <w:rFonts w:ascii="微软雅黑" w:hAnsi="微软雅黑" w:eastAsia="微软雅黑" w:cs="微软雅黑"/>
          <w:spacing w:val="14"/>
          <w:sz w:val="33"/>
          <w:szCs w:val="33"/>
        </w:rPr>
        <w:t>2025年)</w:t>
      </w:r>
    </w:p>
    <w:p w14:paraId="76D192CF">
      <w:pPr>
        <w:pStyle w:val="2"/>
      </w:pPr>
    </w:p>
    <w:p w14:paraId="378012A7">
      <w:pPr>
        <w:pStyle w:val="2"/>
      </w:pPr>
    </w:p>
    <w:p w14:paraId="6D590A0C">
      <w:pPr>
        <w:pStyle w:val="2"/>
      </w:pPr>
    </w:p>
    <w:p w14:paraId="6D65C833">
      <w:pPr>
        <w:pStyle w:val="2"/>
      </w:pPr>
    </w:p>
    <w:p w14:paraId="3426FAD1">
      <w:pPr>
        <w:pStyle w:val="2"/>
      </w:pPr>
    </w:p>
    <w:p w14:paraId="35E4A56B">
      <w:pPr>
        <w:pStyle w:val="2"/>
      </w:pPr>
    </w:p>
    <w:p w14:paraId="19CE102A">
      <w:pPr>
        <w:pStyle w:val="2"/>
      </w:pPr>
    </w:p>
    <w:p w14:paraId="2B4C4EFA">
      <w:pPr>
        <w:pStyle w:val="2"/>
      </w:pPr>
    </w:p>
    <w:p w14:paraId="20FDAF08">
      <w:pPr>
        <w:pStyle w:val="2"/>
      </w:pPr>
    </w:p>
    <w:p w14:paraId="55D2C9E3">
      <w:pPr>
        <w:pStyle w:val="2"/>
      </w:pPr>
    </w:p>
    <w:p w14:paraId="44312424">
      <w:pPr>
        <w:pStyle w:val="2"/>
      </w:pPr>
    </w:p>
    <w:p w14:paraId="45BEA549">
      <w:pPr>
        <w:pStyle w:val="2"/>
      </w:pPr>
    </w:p>
    <w:p w14:paraId="1BBAD841">
      <w:pPr>
        <w:pStyle w:val="2"/>
      </w:pPr>
    </w:p>
    <w:p w14:paraId="0004A802">
      <w:pPr>
        <w:pStyle w:val="2"/>
      </w:pPr>
    </w:p>
    <w:p w14:paraId="470E38C4">
      <w:pPr>
        <w:pStyle w:val="2"/>
      </w:pPr>
    </w:p>
    <w:p w14:paraId="2DBA4404">
      <w:pPr>
        <w:pStyle w:val="2"/>
        <w:spacing w:line="241" w:lineRule="auto"/>
      </w:pPr>
    </w:p>
    <w:p w14:paraId="04C02116">
      <w:pPr>
        <w:pStyle w:val="2"/>
        <w:spacing w:line="241" w:lineRule="auto"/>
      </w:pPr>
    </w:p>
    <w:p w14:paraId="7D36CBF4">
      <w:pPr>
        <w:pStyle w:val="2"/>
        <w:spacing w:line="241" w:lineRule="auto"/>
      </w:pPr>
    </w:p>
    <w:p w14:paraId="22C90AD6">
      <w:pPr>
        <w:pStyle w:val="2"/>
        <w:spacing w:line="241" w:lineRule="auto"/>
      </w:pPr>
    </w:p>
    <w:p w14:paraId="6117110F">
      <w:pPr>
        <w:pStyle w:val="2"/>
        <w:spacing w:line="241" w:lineRule="auto"/>
      </w:pPr>
    </w:p>
    <w:p w14:paraId="3271B0BE">
      <w:pPr>
        <w:pStyle w:val="2"/>
        <w:spacing w:line="241" w:lineRule="auto"/>
      </w:pPr>
    </w:p>
    <w:p w14:paraId="722A53DF">
      <w:pPr>
        <w:pStyle w:val="2"/>
        <w:spacing w:line="241" w:lineRule="auto"/>
      </w:pPr>
    </w:p>
    <w:p w14:paraId="43000C8D">
      <w:pPr>
        <w:pStyle w:val="2"/>
        <w:spacing w:line="241" w:lineRule="auto"/>
      </w:pPr>
    </w:p>
    <w:p w14:paraId="52E27851">
      <w:pPr>
        <w:pStyle w:val="2"/>
        <w:spacing w:line="241" w:lineRule="auto"/>
      </w:pPr>
    </w:p>
    <w:p w14:paraId="59B76D6F">
      <w:pPr>
        <w:pStyle w:val="2"/>
        <w:spacing w:line="241" w:lineRule="auto"/>
      </w:pPr>
    </w:p>
    <w:p w14:paraId="143E743E">
      <w:pPr>
        <w:pStyle w:val="2"/>
        <w:spacing w:line="241" w:lineRule="auto"/>
      </w:pPr>
    </w:p>
    <w:p w14:paraId="291D3290">
      <w:pPr>
        <w:pStyle w:val="2"/>
        <w:spacing w:line="241" w:lineRule="auto"/>
      </w:pPr>
    </w:p>
    <w:p w14:paraId="6B3F275A">
      <w:pPr>
        <w:pStyle w:val="2"/>
        <w:spacing w:line="241" w:lineRule="auto"/>
      </w:pPr>
    </w:p>
    <w:p w14:paraId="7CE5540E">
      <w:pPr>
        <w:pStyle w:val="2"/>
        <w:spacing w:line="241" w:lineRule="auto"/>
      </w:pPr>
    </w:p>
    <w:p w14:paraId="2014641C">
      <w:pPr>
        <w:pStyle w:val="2"/>
        <w:spacing w:line="241" w:lineRule="auto"/>
      </w:pPr>
    </w:p>
    <w:p w14:paraId="5446996E">
      <w:pPr>
        <w:spacing w:before="114" w:line="226" w:lineRule="auto"/>
        <w:ind w:left="1393"/>
        <w:rPr>
          <w:rFonts w:ascii="黑体" w:hAnsi="黑体" w:eastAsia="黑体" w:cs="黑体"/>
          <w:sz w:val="35"/>
          <w:szCs w:val="35"/>
        </w:rPr>
      </w:pPr>
      <w:r>
        <w:rPr>
          <w:rFonts w:ascii="黑体" w:hAnsi="黑体" w:eastAsia="黑体" w:cs="黑体"/>
          <w:spacing w:val="-4"/>
          <w:sz w:val="35"/>
          <w:szCs w:val="35"/>
        </w:rPr>
        <w:t>阿</w:t>
      </w:r>
      <w:r>
        <w:rPr>
          <w:rFonts w:ascii="黑体" w:hAnsi="黑体" w:eastAsia="黑体" w:cs="黑体"/>
          <w:spacing w:val="-75"/>
          <w:sz w:val="35"/>
          <w:szCs w:val="35"/>
        </w:rPr>
        <w:t xml:space="preserve"> </w:t>
      </w:r>
      <w:r>
        <w:rPr>
          <w:rFonts w:ascii="黑体" w:hAnsi="黑体" w:eastAsia="黑体" w:cs="黑体"/>
          <w:spacing w:val="-4"/>
          <w:sz w:val="35"/>
          <w:szCs w:val="35"/>
        </w:rPr>
        <w:t>坝</w:t>
      </w:r>
      <w:r>
        <w:rPr>
          <w:rFonts w:ascii="黑体" w:hAnsi="黑体" w:eastAsia="黑体" w:cs="黑体"/>
          <w:spacing w:val="-82"/>
          <w:sz w:val="35"/>
          <w:szCs w:val="35"/>
        </w:rPr>
        <w:t xml:space="preserve"> </w:t>
      </w:r>
      <w:r>
        <w:rPr>
          <w:rFonts w:ascii="黑体" w:hAnsi="黑体" w:eastAsia="黑体" w:cs="黑体"/>
          <w:spacing w:val="-4"/>
          <w:sz w:val="35"/>
          <w:szCs w:val="35"/>
        </w:rPr>
        <w:t>藏</w:t>
      </w:r>
      <w:r>
        <w:rPr>
          <w:rFonts w:ascii="黑体" w:hAnsi="黑体" w:eastAsia="黑体" w:cs="黑体"/>
          <w:spacing w:val="-87"/>
          <w:sz w:val="35"/>
          <w:szCs w:val="35"/>
        </w:rPr>
        <w:t xml:space="preserve"> </w:t>
      </w:r>
      <w:r>
        <w:rPr>
          <w:rFonts w:ascii="黑体" w:hAnsi="黑体" w:eastAsia="黑体" w:cs="黑体"/>
          <w:spacing w:val="-4"/>
          <w:sz w:val="35"/>
          <w:szCs w:val="35"/>
        </w:rPr>
        <w:t>族</w:t>
      </w:r>
      <w:r>
        <w:rPr>
          <w:rFonts w:ascii="黑体" w:hAnsi="黑体" w:eastAsia="黑体" w:cs="黑体"/>
          <w:spacing w:val="-79"/>
          <w:sz w:val="35"/>
          <w:szCs w:val="35"/>
        </w:rPr>
        <w:t xml:space="preserve"> </w:t>
      </w:r>
      <w:r>
        <w:rPr>
          <w:rFonts w:ascii="黑体" w:hAnsi="黑体" w:eastAsia="黑体" w:cs="黑体"/>
          <w:spacing w:val="-4"/>
          <w:sz w:val="35"/>
          <w:szCs w:val="35"/>
        </w:rPr>
        <w:t>羌</w:t>
      </w:r>
      <w:r>
        <w:rPr>
          <w:rFonts w:ascii="黑体" w:hAnsi="黑体" w:eastAsia="黑体" w:cs="黑体"/>
          <w:spacing w:val="-83"/>
          <w:sz w:val="35"/>
          <w:szCs w:val="35"/>
        </w:rPr>
        <w:t xml:space="preserve"> </w:t>
      </w:r>
      <w:r>
        <w:rPr>
          <w:rFonts w:ascii="黑体" w:hAnsi="黑体" w:eastAsia="黑体" w:cs="黑体"/>
          <w:spacing w:val="-4"/>
          <w:sz w:val="35"/>
          <w:szCs w:val="35"/>
        </w:rPr>
        <w:t>族</w:t>
      </w:r>
      <w:r>
        <w:rPr>
          <w:rFonts w:ascii="黑体" w:hAnsi="黑体" w:eastAsia="黑体" w:cs="黑体"/>
          <w:spacing w:val="-39"/>
          <w:sz w:val="35"/>
          <w:szCs w:val="35"/>
        </w:rPr>
        <w:t xml:space="preserve"> </w:t>
      </w:r>
      <w:r>
        <w:rPr>
          <w:rFonts w:ascii="黑体" w:hAnsi="黑体" w:eastAsia="黑体" w:cs="黑体"/>
          <w:spacing w:val="-4"/>
          <w:sz w:val="35"/>
          <w:szCs w:val="35"/>
        </w:rPr>
        <w:t>自</w:t>
      </w:r>
      <w:r>
        <w:rPr>
          <w:rFonts w:ascii="黑体" w:hAnsi="黑体" w:eastAsia="黑体" w:cs="黑体"/>
          <w:spacing w:val="-75"/>
          <w:sz w:val="35"/>
          <w:szCs w:val="35"/>
        </w:rPr>
        <w:t xml:space="preserve"> </w:t>
      </w:r>
      <w:r>
        <w:rPr>
          <w:rFonts w:ascii="黑体" w:hAnsi="黑体" w:eastAsia="黑体" w:cs="黑体"/>
          <w:spacing w:val="-4"/>
          <w:sz w:val="35"/>
          <w:szCs w:val="35"/>
        </w:rPr>
        <w:t>治</w:t>
      </w:r>
      <w:r>
        <w:rPr>
          <w:rFonts w:ascii="黑体" w:hAnsi="黑体" w:eastAsia="黑体" w:cs="黑体"/>
          <w:spacing w:val="-68"/>
          <w:sz w:val="35"/>
          <w:szCs w:val="35"/>
        </w:rPr>
        <w:t xml:space="preserve"> </w:t>
      </w:r>
      <w:r>
        <w:rPr>
          <w:rFonts w:ascii="黑体" w:hAnsi="黑体" w:eastAsia="黑体" w:cs="黑体"/>
          <w:spacing w:val="-4"/>
          <w:sz w:val="35"/>
          <w:szCs w:val="35"/>
        </w:rPr>
        <w:t>州人</w:t>
      </w:r>
      <w:r>
        <w:rPr>
          <w:rFonts w:ascii="黑体" w:hAnsi="黑体" w:eastAsia="黑体" w:cs="黑体"/>
          <w:spacing w:val="-58"/>
          <w:sz w:val="35"/>
          <w:szCs w:val="35"/>
        </w:rPr>
        <w:t xml:space="preserve"> </w:t>
      </w:r>
      <w:r>
        <w:rPr>
          <w:rFonts w:ascii="黑体" w:hAnsi="黑体" w:eastAsia="黑体" w:cs="黑体"/>
          <w:spacing w:val="-4"/>
          <w:sz w:val="35"/>
          <w:szCs w:val="35"/>
        </w:rPr>
        <w:t>民</w:t>
      </w:r>
      <w:r>
        <w:rPr>
          <w:rFonts w:ascii="黑体" w:hAnsi="黑体" w:eastAsia="黑体" w:cs="黑体"/>
          <w:spacing w:val="-82"/>
          <w:sz w:val="35"/>
          <w:szCs w:val="35"/>
        </w:rPr>
        <w:t xml:space="preserve"> </w:t>
      </w:r>
      <w:r>
        <w:rPr>
          <w:rFonts w:ascii="黑体" w:hAnsi="黑体" w:eastAsia="黑体" w:cs="黑体"/>
          <w:spacing w:val="-4"/>
          <w:sz w:val="35"/>
          <w:szCs w:val="35"/>
        </w:rPr>
        <w:t>政</w:t>
      </w:r>
      <w:r>
        <w:rPr>
          <w:rFonts w:ascii="黑体" w:hAnsi="黑体" w:eastAsia="黑体" w:cs="黑体"/>
          <w:spacing w:val="-86"/>
          <w:sz w:val="35"/>
          <w:szCs w:val="35"/>
        </w:rPr>
        <w:t xml:space="preserve"> </w:t>
      </w:r>
      <w:r>
        <w:rPr>
          <w:rFonts w:ascii="黑体" w:hAnsi="黑体" w:eastAsia="黑体" w:cs="黑体"/>
          <w:spacing w:val="-4"/>
          <w:sz w:val="35"/>
          <w:szCs w:val="35"/>
        </w:rPr>
        <w:t>府</w:t>
      </w:r>
    </w:p>
    <w:p w14:paraId="681F45BC">
      <w:pPr>
        <w:spacing w:before="195" w:line="228" w:lineRule="auto"/>
        <w:ind w:left="2985"/>
        <w:rPr>
          <w:rFonts w:ascii="黑体" w:hAnsi="黑体" w:eastAsia="黑体" w:cs="黑体"/>
          <w:sz w:val="35"/>
          <w:szCs w:val="35"/>
        </w:rPr>
      </w:pPr>
      <w:r>
        <w:rPr>
          <w:rFonts w:ascii="黑体" w:hAnsi="黑体" w:eastAsia="黑体" w:cs="黑体"/>
          <w:spacing w:val="7"/>
          <w:sz w:val="35"/>
          <w:szCs w:val="35"/>
        </w:rPr>
        <w:t>二〇二三年一月</w:t>
      </w:r>
    </w:p>
    <w:p w14:paraId="53A0D769">
      <w:pPr>
        <w:spacing w:line="228" w:lineRule="auto"/>
        <w:rPr>
          <w:rFonts w:ascii="黑体" w:hAnsi="黑体" w:eastAsia="黑体" w:cs="黑体"/>
          <w:sz w:val="35"/>
          <w:szCs w:val="35"/>
        </w:rPr>
        <w:sectPr>
          <w:pgSz w:w="11904" w:h="16835"/>
          <w:pgMar w:top="1430" w:right="1785" w:bottom="0" w:left="1785" w:header="0" w:footer="0" w:gutter="0"/>
          <w:cols w:space="720" w:num="1"/>
        </w:sectPr>
      </w:pPr>
    </w:p>
    <w:sdt>
      <w:sdtPr>
        <w:rPr>
          <w:rFonts w:ascii="黑体" w:hAnsi="黑体" w:eastAsia="黑体" w:cs="黑体"/>
          <w:sz w:val="35"/>
          <w:szCs w:val="35"/>
        </w:rPr>
        <w:id w:val="147455874"/>
        <w:docPartObj>
          <w:docPartGallery w:val="Table of Contents"/>
          <w:docPartUnique/>
        </w:docPartObj>
      </w:sdtPr>
      <w:sdtEndPr>
        <w:rPr>
          <w:rFonts w:ascii="Times New Roman" w:hAnsi="Times New Roman" w:eastAsia="Times New Roman" w:cs="Times New Roman"/>
          <w:sz w:val="31"/>
          <w:szCs w:val="31"/>
        </w:rPr>
      </w:sdtEndPr>
      <w:sdtContent>
        <w:p w14:paraId="020554C7">
          <w:pPr>
            <w:spacing w:before="126" w:line="227" w:lineRule="auto"/>
            <w:ind w:left="3964"/>
            <w:rPr>
              <w:rFonts w:ascii="黑体" w:hAnsi="黑体" w:eastAsia="黑体" w:cs="黑体"/>
              <w:sz w:val="35"/>
              <w:szCs w:val="35"/>
            </w:rPr>
          </w:pPr>
          <w:r>
            <w:rPr>
              <w:rFonts w:ascii="黑体" w:hAnsi="黑体" w:eastAsia="黑体" w:cs="黑体"/>
              <w:spacing w:val="-20"/>
              <w:sz w:val="35"/>
              <w:szCs w:val="35"/>
            </w:rPr>
            <w:t>目录</w:t>
          </w:r>
        </w:p>
        <w:p w14:paraId="6E87FFC9">
          <w:pPr>
            <w:tabs>
              <w:tab w:val="right" w:leader="dot" w:pos="8315"/>
            </w:tabs>
            <w:spacing w:before="93" w:line="415" w:lineRule="exact"/>
            <w:ind w:left="34"/>
            <w:rPr>
              <w:rFonts w:ascii="Times New Roman" w:hAnsi="Times New Roman" w:eastAsia="Times New Roman" w:cs="Times New Roman"/>
              <w:sz w:val="31"/>
              <w:szCs w:val="31"/>
            </w:rPr>
          </w:pPr>
          <w:r>
            <w:fldChar w:fldCharType="begin"/>
          </w:r>
          <w:r>
            <w:instrText xml:space="preserve"> HYPERLINK \l "bookmark1" </w:instrText>
          </w:r>
          <w:r>
            <w:fldChar w:fldCharType="separate"/>
          </w:r>
          <w:r>
            <w:rPr>
              <w:rFonts w:ascii="宋体" w:hAnsi="宋体" w:eastAsia="宋体" w:cs="宋体"/>
              <w:spacing w:val="-10"/>
              <w:position w:val="1"/>
              <w:sz w:val="31"/>
              <w:szCs w:val="31"/>
            </w:rPr>
            <w:t>导</w:t>
          </w:r>
          <w:r>
            <w:rPr>
              <w:rFonts w:ascii="宋体" w:hAnsi="宋体" w:eastAsia="宋体" w:cs="宋体"/>
              <w:spacing w:val="11"/>
              <w:position w:val="1"/>
              <w:sz w:val="31"/>
              <w:szCs w:val="31"/>
            </w:rPr>
            <w:t xml:space="preserve">  </w:t>
          </w:r>
          <w:r>
            <w:rPr>
              <w:rFonts w:ascii="宋体" w:hAnsi="宋体" w:eastAsia="宋体" w:cs="宋体"/>
              <w:spacing w:val="-10"/>
              <w:position w:val="1"/>
              <w:sz w:val="31"/>
              <w:szCs w:val="31"/>
            </w:rPr>
            <w:t>语</w:t>
          </w:r>
          <w:r>
            <w:rPr>
              <w:rFonts w:ascii="宋体" w:hAnsi="宋体" w:eastAsia="宋体" w:cs="宋体"/>
              <w:spacing w:val="-50"/>
              <w:position w:val="1"/>
              <w:sz w:val="31"/>
              <w:szCs w:val="31"/>
            </w:rPr>
            <w:t xml:space="preserve"> </w:t>
          </w:r>
          <w:r>
            <w:rPr>
              <w:rFonts w:ascii="宋体" w:hAnsi="宋体" w:eastAsia="宋体" w:cs="宋体"/>
              <w:position w:val="1"/>
              <w:sz w:val="31"/>
              <w:szCs w:val="31"/>
            </w:rPr>
            <w:tab/>
          </w:r>
          <w:r>
            <w:rPr>
              <w:rFonts w:ascii="宋体" w:hAnsi="宋体" w:eastAsia="宋体" w:cs="宋体"/>
              <w:spacing w:val="62"/>
              <w:position w:val="1"/>
              <w:sz w:val="31"/>
              <w:szCs w:val="31"/>
            </w:rPr>
            <w:t xml:space="preserve"> </w:t>
          </w:r>
          <w:r>
            <w:rPr>
              <w:rFonts w:ascii="Times New Roman" w:hAnsi="Times New Roman" w:eastAsia="Times New Roman" w:cs="Times New Roman"/>
              <w:spacing w:val="-15"/>
              <w:position w:val="1"/>
              <w:sz w:val="31"/>
              <w:szCs w:val="31"/>
            </w:rPr>
            <w:t>-</w:t>
          </w:r>
          <w:r>
            <w:rPr>
              <w:rFonts w:ascii="Times New Roman" w:hAnsi="Times New Roman" w:eastAsia="Times New Roman" w:cs="Times New Roman"/>
              <w:spacing w:val="41"/>
              <w:position w:val="1"/>
              <w:sz w:val="31"/>
              <w:szCs w:val="31"/>
            </w:rPr>
            <w:t xml:space="preserve"> </w:t>
          </w:r>
          <w:r>
            <w:rPr>
              <w:rFonts w:ascii="Times New Roman" w:hAnsi="Times New Roman" w:eastAsia="Times New Roman" w:cs="Times New Roman"/>
              <w:spacing w:val="-15"/>
              <w:position w:val="1"/>
              <w:sz w:val="31"/>
              <w:szCs w:val="31"/>
            </w:rPr>
            <w:t>1</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15"/>
              <w:position w:val="1"/>
              <w:sz w:val="31"/>
              <w:szCs w:val="31"/>
            </w:rPr>
            <w:t>-</w:t>
          </w:r>
          <w:r>
            <w:rPr>
              <w:rFonts w:ascii="Times New Roman" w:hAnsi="Times New Roman" w:eastAsia="Times New Roman" w:cs="Times New Roman"/>
              <w:spacing w:val="-15"/>
              <w:position w:val="1"/>
              <w:sz w:val="31"/>
              <w:szCs w:val="31"/>
            </w:rPr>
            <w:fldChar w:fldCharType="end"/>
          </w:r>
        </w:p>
        <w:p w14:paraId="5AE07FE1">
          <w:pPr>
            <w:tabs>
              <w:tab w:val="right" w:leader="dot" w:pos="8315"/>
            </w:tabs>
            <w:spacing w:before="208" w:line="415" w:lineRule="exact"/>
            <w:ind w:left="26"/>
            <w:rPr>
              <w:rFonts w:ascii="Times New Roman" w:hAnsi="Times New Roman" w:eastAsia="Times New Roman" w:cs="Times New Roman"/>
              <w:sz w:val="31"/>
              <w:szCs w:val="31"/>
            </w:rPr>
          </w:pPr>
          <w:r>
            <w:fldChar w:fldCharType="begin"/>
          </w:r>
          <w:r>
            <w:instrText xml:space="preserve"> HYPERLINK \l "bookmark2" </w:instrText>
          </w:r>
          <w:r>
            <w:fldChar w:fldCharType="separate"/>
          </w:r>
          <w:r>
            <w:rPr>
              <w:rFonts w:ascii="宋体" w:hAnsi="宋体" w:eastAsia="宋体" w:cs="宋体"/>
              <w:spacing w:val="5"/>
              <w:position w:val="1"/>
              <w:sz w:val="31"/>
              <w:szCs w:val="31"/>
            </w:rPr>
            <w:t>第一章</w:t>
          </w:r>
          <w:r>
            <w:rPr>
              <w:rFonts w:ascii="宋体" w:hAnsi="宋体" w:eastAsia="宋体" w:cs="宋体"/>
              <w:spacing w:val="15"/>
              <w:position w:val="1"/>
              <w:sz w:val="31"/>
              <w:szCs w:val="31"/>
            </w:rPr>
            <w:t xml:space="preserve">  </w:t>
          </w:r>
          <w:r>
            <w:rPr>
              <w:rFonts w:ascii="宋体" w:hAnsi="宋体" w:eastAsia="宋体" w:cs="宋体"/>
              <w:spacing w:val="5"/>
              <w:position w:val="1"/>
              <w:sz w:val="31"/>
              <w:szCs w:val="31"/>
            </w:rPr>
            <w:t>现状与形势</w:t>
          </w:r>
          <w:r>
            <w:rPr>
              <w:rFonts w:ascii="宋体" w:hAnsi="宋体" w:eastAsia="宋体" w:cs="宋体"/>
              <w:spacing w:val="-50"/>
              <w:position w:val="1"/>
              <w:sz w:val="31"/>
              <w:szCs w:val="31"/>
            </w:rPr>
            <w:t xml:space="preserve"> </w:t>
          </w:r>
          <w:r>
            <w:rPr>
              <w:rFonts w:ascii="宋体" w:hAnsi="宋体" w:eastAsia="宋体" w:cs="宋体"/>
              <w:position w:val="1"/>
              <w:sz w:val="31"/>
              <w:szCs w:val="31"/>
            </w:rPr>
            <w:tab/>
          </w:r>
          <w:r>
            <w:rPr>
              <w:rFonts w:ascii="宋体" w:hAnsi="宋体" w:eastAsia="宋体" w:cs="宋体"/>
              <w:spacing w:val="62"/>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11"/>
              <w:position w:val="1"/>
              <w:sz w:val="31"/>
              <w:szCs w:val="31"/>
            </w:rPr>
            <w:t xml:space="preserve"> </w:t>
          </w:r>
          <w:r>
            <w:rPr>
              <w:rFonts w:ascii="Times New Roman" w:hAnsi="Times New Roman" w:eastAsia="Times New Roman" w:cs="Times New Roman"/>
              <w:spacing w:val="-5"/>
              <w:position w:val="1"/>
              <w:sz w:val="31"/>
              <w:szCs w:val="31"/>
            </w:rPr>
            <w:t>2</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5"/>
              <w:position w:val="1"/>
              <w:sz w:val="31"/>
              <w:szCs w:val="31"/>
            </w:rPr>
            <w:fldChar w:fldCharType="end"/>
          </w:r>
        </w:p>
        <w:p w14:paraId="6F72E455">
          <w:pPr>
            <w:tabs>
              <w:tab w:val="right" w:leader="dot" w:pos="8315"/>
            </w:tabs>
            <w:spacing w:before="208" w:line="415" w:lineRule="exact"/>
            <w:ind w:left="34"/>
            <w:rPr>
              <w:rFonts w:ascii="Times New Roman" w:hAnsi="Times New Roman" w:eastAsia="Times New Roman" w:cs="Times New Roman"/>
              <w:sz w:val="31"/>
              <w:szCs w:val="31"/>
            </w:rPr>
          </w:pPr>
          <w:r>
            <w:fldChar w:fldCharType="begin"/>
          </w:r>
          <w:r>
            <w:instrText xml:space="preserve"> HYPERLINK \l "bookmark3" </w:instrText>
          </w:r>
          <w:r>
            <w:fldChar w:fldCharType="separate"/>
          </w:r>
          <w:r>
            <w:rPr>
              <w:rFonts w:ascii="楷体" w:hAnsi="楷体" w:eastAsia="楷体" w:cs="楷体"/>
              <w:spacing w:val="7"/>
              <w:position w:val="1"/>
              <w:sz w:val="31"/>
              <w:szCs w:val="31"/>
            </w:rPr>
            <w:t>第一节 经济社会与矿业发展现状</w:t>
          </w:r>
          <w:r>
            <w:rPr>
              <w:rFonts w:ascii="楷体" w:hAnsi="楷体" w:eastAsia="楷体" w:cs="楷体"/>
              <w:spacing w:val="-42"/>
              <w:position w:val="1"/>
              <w:sz w:val="31"/>
              <w:szCs w:val="31"/>
            </w:rPr>
            <w:t xml:space="preserve"> </w:t>
          </w:r>
          <w:r>
            <w:rPr>
              <w:rFonts w:ascii="楷体" w:hAnsi="楷体" w:eastAsia="楷体" w:cs="楷体"/>
              <w:position w:val="1"/>
              <w:sz w:val="31"/>
              <w:szCs w:val="31"/>
            </w:rPr>
            <w:tab/>
          </w:r>
          <w:r>
            <w:rPr>
              <w:rFonts w:ascii="楷体" w:hAnsi="楷体" w:eastAsia="楷体" w:cs="楷体"/>
              <w:spacing w:val="72"/>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11"/>
              <w:position w:val="1"/>
              <w:sz w:val="31"/>
              <w:szCs w:val="31"/>
            </w:rPr>
            <w:t xml:space="preserve"> </w:t>
          </w:r>
          <w:r>
            <w:rPr>
              <w:rFonts w:ascii="Times New Roman" w:hAnsi="Times New Roman" w:eastAsia="Times New Roman" w:cs="Times New Roman"/>
              <w:spacing w:val="-5"/>
              <w:position w:val="1"/>
              <w:sz w:val="31"/>
              <w:szCs w:val="31"/>
            </w:rPr>
            <w:t>2</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5"/>
              <w:position w:val="1"/>
              <w:sz w:val="31"/>
              <w:szCs w:val="31"/>
            </w:rPr>
            <w:fldChar w:fldCharType="end"/>
          </w:r>
        </w:p>
        <w:p w14:paraId="0FBF2091">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"bookmark4" </w:instrText>
          </w:r>
          <w:r>
            <w:fldChar w:fldCharType="separate"/>
          </w:r>
          <w:r>
            <w:rPr>
              <w:rFonts w:ascii="楷体" w:hAnsi="楷体" w:eastAsia="楷体" w:cs="楷体"/>
              <w:spacing w:val="8"/>
              <w:position w:val="2"/>
              <w:sz w:val="31"/>
              <w:szCs w:val="31"/>
            </w:rPr>
            <w:t>第二节 矿产资源特点及勘查开发现状</w:t>
          </w:r>
          <w:r>
            <w:rPr>
              <w:rFonts w:ascii="楷体" w:hAnsi="楷体" w:eastAsia="楷体" w:cs="楷体"/>
              <w:spacing w:val="-50"/>
              <w:position w:val="2"/>
              <w:sz w:val="31"/>
              <w:szCs w:val="31"/>
            </w:rPr>
            <w:t xml:space="preserve"> </w:t>
          </w:r>
          <w:r>
            <w:rPr>
              <w:rFonts w:ascii="楷体" w:hAnsi="楷体" w:eastAsia="楷体" w:cs="楷体"/>
              <w:position w:val="2"/>
              <w:sz w:val="31"/>
              <w:szCs w:val="31"/>
            </w:rPr>
            <w:tab/>
          </w:r>
          <w:r>
            <w:rPr>
              <w:rFonts w:ascii="楷体" w:hAnsi="楷体" w:eastAsia="楷体" w:cs="楷体"/>
              <w:spacing w:val="43"/>
              <w:position w:val="2"/>
              <w:sz w:val="31"/>
              <w:szCs w:val="31"/>
            </w:rPr>
            <w:t xml:space="preserve"> </w:t>
          </w:r>
          <w:r>
            <w:rPr>
              <w:rFonts w:ascii="Times New Roman" w:hAnsi="Times New Roman" w:eastAsia="Times New Roman" w:cs="Times New Roman"/>
              <w:spacing w:val="-7"/>
              <w:position w:val="2"/>
              <w:sz w:val="31"/>
              <w:szCs w:val="31"/>
            </w:rPr>
            <w:t>-</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7"/>
              <w:position w:val="2"/>
              <w:sz w:val="31"/>
              <w:szCs w:val="31"/>
            </w:rPr>
            <w:t>3</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7"/>
              <w:position w:val="2"/>
              <w:sz w:val="31"/>
              <w:szCs w:val="31"/>
            </w:rPr>
            <w:t>-</w:t>
          </w:r>
          <w:r>
            <w:rPr>
              <w:rFonts w:ascii="Times New Roman" w:hAnsi="Times New Roman" w:eastAsia="Times New Roman" w:cs="Times New Roman"/>
              <w:spacing w:val="-7"/>
              <w:position w:val="2"/>
              <w:sz w:val="31"/>
              <w:szCs w:val="31"/>
            </w:rPr>
            <w:fldChar w:fldCharType="end"/>
          </w:r>
        </w:p>
        <w:p w14:paraId="47430559">
          <w:pPr>
            <w:tabs>
              <w:tab w:val="right" w:leader="dot" w:pos="8315"/>
            </w:tabs>
            <w:spacing w:before="257" w:line="218" w:lineRule="auto"/>
            <w:ind w:left="34"/>
            <w:rPr>
              <w:rFonts w:ascii="Times New Roman" w:hAnsi="Times New Roman" w:eastAsia="Times New Roman" w:cs="Times New Roman"/>
              <w:sz w:val="31"/>
              <w:szCs w:val="31"/>
            </w:rPr>
          </w:pPr>
          <w:r>
            <w:fldChar w:fldCharType="begin"/>
          </w:r>
          <w:r>
            <w:instrText xml:space="preserve"> HYPERLINK \l "bookmark5" </w:instrText>
          </w:r>
          <w:r>
            <w:fldChar w:fldCharType="separate"/>
          </w:r>
          <w:r>
            <w:rPr>
              <w:rFonts w:ascii="楷体" w:hAnsi="楷体" w:eastAsia="楷体" w:cs="楷体"/>
              <w:spacing w:val="8"/>
              <w:sz w:val="31"/>
              <w:szCs w:val="31"/>
            </w:rPr>
            <w:t>第三节 上轮矿产资源规划的实施成效</w:t>
          </w:r>
          <w:r>
            <w:rPr>
              <w:rFonts w:ascii="楷体" w:hAnsi="楷体" w:eastAsia="楷体" w:cs="楷体"/>
              <w:spacing w:val="-50"/>
              <w:sz w:val="31"/>
              <w:szCs w:val="31"/>
            </w:rPr>
            <w:t xml:space="preserve"> </w:t>
          </w:r>
          <w:r>
            <w:rPr>
              <w:rFonts w:ascii="楷体" w:hAnsi="楷体" w:eastAsia="楷体" w:cs="楷体"/>
              <w:sz w:val="31"/>
              <w:szCs w:val="31"/>
            </w:rPr>
            <w:tab/>
          </w:r>
          <w:r>
            <w:rPr>
              <w:rFonts w:ascii="楷体" w:hAnsi="楷体" w:eastAsia="楷体" w:cs="楷体"/>
              <w:spacing w:val="43"/>
              <w:sz w:val="31"/>
              <w:szCs w:val="31"/>
            </w:rPr>
            <w:t xml:space="preserve"> </w:t>
          </w:r>
          <w:r>
            <w:rPr>
              <w:rFonts w:ascii="Times New Roman" w:hAnsi="Times New Roman" w:eastAsia="Times New Roman" w:cs="Times New Roman"/>
              <w:spacing w:val="-8"/>
              <w:sz w:val="31"/>
              <w:szCs w:val="31"/>
            </w:rPr>
            <w:t>-</w:t>
          </w:r>
          <w:r>
            <w:rPr>
              <w:rFonts w:ascii="Times New Roman" w:hAnsi="Times New Roman" w:eastAsia="Times New Roman" w:cs="Times New Roman"/>
              <w:spacing w:val="20"/>
              <w:sz w:val="31"/>
              <w:szCs w:val="31"/>
            </w:rPr>
            <w:t xml:space="preserve"> </w:t>
          </w:r>
          <w:r>
            <w:rPr>
              <w:rFonts w:ascii="Times New Roman" w:hAnsi="Times New Roman" w:eastAsia="Times New Roman" w:cs="Times New Roman"/>
              <w:spacing w:val="-8"/>
              <w:sz w:val="31"/>
              <w:szCs w:val="31"/>
            </w:rPr>
            <w:t>5</w:t>
          </w:r>
          <w:r>
            <w:rPr>
              <w:rFonts w:ascii="Times New Roman" w:hAnsi="Times New Roman" w:eastAsia="Times New Roman" w:cs="Times New Roman"/>
              <w:spacing w:val="17"/>
              <w:sz w:val="31"/>
              <w:szCs w:val="31"/>
            </w:rPr>
            <w:t xml:space="preserve"> </w:t>
          </w:r>
          <w:r>
            <w:rPr>
              <w:rFonts w:ascii="Times New Roman" w:hAnsi="Times New Roman" w:eastAsia="Times New Roman" w:cs="Times New Roman"/>
              <w:spacing w:val="-8"/>
              <w:sz w:val="31"/>
              <w:szCs w:val="31"/>
            </w:rPr>
            <w:t>-</w:t>
          </w:r>
          <w:r>
            <w:rPr>
              <w:rFonts w:ascii="Times New Roman" w:hAnsi="Times New Roman" w:eastAsia="Times New Roman" w:cs="Times New Roman"/>
              <w:spacing w:val="-8"/>
              <w:sz w:val="31"/>
              <w:szCs w:val="31"/>
            </w:rPr>
            <w:fldChar w:fldCharType="end"/>
          </w:r>
        </w:p>
        <w:p w14:paraId="115E3B66">
          <w:pPr>
            <w:tabs>
              <w:tab w:val="right" w:leader="dot" w:pos="8315"/>
            </w:tabs>
            <w:spacing w:before="256" w:line="220" w:lineRule="auto"/>
            <w:ind w:left="34"/>
            <w:rPr>
              <w:rFonts w:ascii="Times New Roman" w:hAnsi="Times New Roman" w:eastAsia="Times New Roman" w:cs="Times New Roman"/>
              <w:sz w:val="31"/>
              <w:szCs w:val="31"/>
            </w:rPr>
          </w:pPr>
          <w:r>
            <w:fldChar w:fldCharType="begin"/>
          </w:r>
          <w:r>
            <w:instrText xml:space="preserve"> HYPERLINK \l "bookmark6" </w:instrText>
          </w:r>
          <w:r>
            <w:fldChar w:fldCharType="separate"/>
          </w:r>
          <w:r>
            <w:rPr>
              <w:rFonts w:ascii="楷体" w:hAnsi="楷体" w:eastAsia="楷体" w:cs="楷体"/>
              <w:sz w:val="31"/>
              <w:szCs w:val="31"/>
            </w:rPr>
            <w:t>第四节</w:t>
          </w:r>
          <w:r>
            <w:rPr>
              <w:rFonts w:ascii="楷体" w:hAnsi="楷体" w:eastAsia="楷体" w:cs="楷体"/>
              <w:spacing w:val="31"/>
              <w:sz w:val="31"/>
              <w:szCs w:val="31"/>
            </w:rPr>
            <w:t xml:space="preserve">  </w:t>
          </w:r>
          <w:r>
            <w:rPr>
              <w:rFonts w:ascii="楷体" w:hAnsi="楷体" w:eastAsia="楷体" w:cs="楷体"/>
              <w:sz w:val="31"/>
              <w:szCs w:val="31"/>
            </w:rPr>
            <w:t>问题与形势</w:t>
          </w:r>
          <w:r>
            <w:rPr>
              <w:rFonts w:ascii="楷体" w:hAnsi="楷体" w:eastAsia="楷体" w:cs="楷体"/>
              <w:spacing w:val="-51"/>
              <w:sz w:val="31"/>
              <w:szCs w:val="31"/>
            </w:rPr>
            <w:t xml:space="preserve"> </w:t>
          </w:r>
          <w:r>
            <w:rPr>
              <w:rFonts w:ascii="楷体" w:hAnsi="楷体" w:eastAsia="楷体" w:cs="楷体"/>
              <w:sz w:val="31"/>
              <w:szCs w:val="31"/>
            </w:rPr>
            <w:tab/>
          </w:r>
          <w:r>
            <w:rPr>
              <w:rFonts w:ascii="楷体" w:hAnsi="楷体" w:eastAsia="楷体" w:cs="楷体"/>
              <w:spacing w:val="63"/>
              <w:sz w:val="31"/>
              <w:szCs w:val="31"/>
            </w:rPr>
            <w:t xml:space="preserve"> </w:t>
          </w:r>
          <w:r>
            <w:rPr>
              <w:rFonts w:ascii="Times New Roman" w:hAnsi="Times New Roman" w:eastAsia="Times New Roman" w:cs="Times New Roman"/>
              <w:spacing w:val="-7"/>
              <w:sz w:val="31"/>
              <w:szCs w:val="31"/>
            </w:rPr>
            <w:t>-</w:t>
          </w:r>
          <w:r>
            <w:rPr>
              <w:rFonts w:ascii="Times New Roman" w:hAnsi="Times New Roman" w:eastAsia="Times New Roman" w:cs="Times New Roman"/>
              <w:spacing w:val="16"/>
              <w:sz w:val="31"/>
              <w:szCs w:val="31"/>
            </w:rPr>
            <w:t xml:space="preserve"> </w:t>
          </w:r>
          <w:r>
            <w:rPr>
              <w:rFonts w:ascii="Times New Roman" w:hAnsi="Times New Roman" w:eastAsia="Times New Roman" w:cs="Times New Roman"/>
              <w:spacing w:val="-7"/>
              <w:sz w:val="31"/>
              <w:szCs w:val="31"/>
            </w:rPr>
            <w:t>7</w:t>
          </w:r>
          <w:r>
            <w:rPr>
              <w:rFonts w:ascii="Times New Roman" w:hAnsi="Times New Roman" w:eastAsia="Times New Roman" w:cs="Times New Roman"/>
              <w:spacing w:val="17"/>
              <w:sz w:val="31"/>
              <w:szCs w:val="31"/>
            </w:rPr>
            <w:t xml:space="preserve"> </w:t>
          </w:r>
          <w:r>
            <w:rPr>
              <w:rFonts w:ascii="Times New Roman" w:hAnsi="Times New Roman" w:eastAsia="Times New Roman" w:cs="Times New Roman"/>
              <w:spacing w:val="-7"/>
              <w:sz w:val="31"/>
              <w:szCs w:val="31"/>
            </w:rPr>
            <w:t>-</w:t>
          </w:r>
          <w:r>
            <w:rPr>
              <w:rFonts w:ascii="Times New Roman" w:hAnsi="Times New Roman" w:eastAsia="Times New Roman" w:cs="Times New Roman"/>
              <w:spacing w:val="-7"/>
              <w:sz w:val="31"/>
              <w:szCs w:val="31"/>
            </w:rPr>
            <w:fldChar w:fldCharType="end"/>
          </w:r>
        </w:p>
        <w:p w14:paraId="24381D4B">
          <w:pPr>
            <w:tabs>
              <w:tab w:val="right" w:leader="dot" w:pos="8315"/>
            </w:tabs>
            <w:spacing w:before="208" w:line="415" w:lineRule="exact"/>
            <w:ind w:left="26"/>
            <w:rPr>
              <w:rFonts w:ascii="Times New Roman" w:hAnsi="Times New Roman" w:eastAsia="Times New Roman" w:cs="Times New Roman"/>
              <w:sz w:val="31"/>
              <w:szCs w:val="31"/>
            </w:rPr>
          </w:pPr>
          <w:r>
            <w:fldChar w:fldCharType="begin"/>
          </w:r>
          <w:r>
            <w:instrText xml:space="preserve"> HYPERLINK \l "bookmark7" </w:instrText>
          </w:r>
          <w:r>
            <w:fldChar w:fldCharType="separate"/>
          </w:r>
          <w:r>
            <w:rPr>
              <w:rFonts w:ascii="宋体" w:hAnsi="宋体" w:eastAsia="宋体" w:cs="宋体"/>
              <w:spacing w:val="8"/>
              <w:position w:val="1"/>
              <w:sz w:val="31"/>
              <w:szCs w:val="31"/>
            </w:rPr>
            <w:t>第二章  指导思想、原则与目标</w:t>
          </w:r>
          <w:r>
            <w:rPr>
              <w:rFonts w:ascii="宋体" w:hAnsi="宋体" w:eastAsia="宋体" w:cs="宋体"/>
              <w:spacing w:val="-52"/>
              <w:position w:val="1"/>
              <w:sz w:val="31"/>
              <w:szCs w:val="31"/>
            </w:rPr>
            <w:t xml:space="preserve"> </w:t>
          </w:r>
          <w:r>
            <w:rPr>
              <w:rFonts w:ascii="宋体" w:hAnsi="宋体" w:eastAsia="宋体" w:cs="宋体"/>
              <w:position w:val="1"/>
              <w:sz w:val="31"/>
              <w:szCs w:val="31"/>
            </w:rPr>
            <w:tab/>
          </w:r>
          <w:r>
            <w:rPr>
              <w:rFonts w:ascii="宋体" w:hAnsi="宋体" w:eastAsia="宋体" w:cs="宋体"/>
              <w:spacing w:val="9"/>
              <w:position w:val="1"/>
              <w:sz w:val="31"/>
              <w:szCs w:val="31"/>
            </w:rPr>
            <w:t xml:space="preserve"> </w:t>
          </w:r>
          <w:r>
            <w:rPr>
              <w:rFonts w:ascii="Times New Roman" w:hAnsi="Times New Roman" w:eastAsia="Times New Roman" w:cs="Times New Roman"/>
              <w:spacing w:val="-13"/>
              <w:position w:val="1"/>
              <w:sz w:val="31"/>
              <w:szCs w:val="31"/>
            </w:rPr>
            <w:t>-</w:t>
          </w:r>
          <w:r>
            <w:rPr>
              <w:rFonts w:ascii="Times New Roman" w:hAnsi="Times New Roman" w:eastAsia="Times New Roman" w:cs="Times New Roman"/>
              <w:spacing w:val="37"/>
              <w:position w:val="1"/>
              <w:sz w:val="31"/>
              <w:szCs w:val="31"/>
            </w:rPr>
            <w:t xml:space="preserve"> </w:t>
          </w:r>
          <w:r>
            <w:rPr>
              <w:rFonts w:ascii="Times New Roman" w:hAnsi="Times New Roman" w:eastAsia="Times New Roman" w:cs="Times New Roman"/>
              <w:spacing w:val="-13"/>
              <w:position w:val="1"/>
              <w:sz w:val="31"/>
              <w:szCs w:val="31"/>
            </w:rPr>
            <w:t>11</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13"/>
              <w:position w:val="1"/>
              <w:sz w:val="31"/>
              <w:szCs w:val="31"/>
            </w:rPr>
            <w:t>-</w:t>
          </w:r>
          <w:r>
            <w:rPr>
              <w:rFonts w:ascii="Times New Roman" w:hAnsi="Times New Roman" w:eastAsia="Times New Roman" w:cs="Times New Roman"/>
              <w:spacing w:val="-13"/>
              <w:position w:val="1"/>
              <w:sz w:val="31"/>
              <w:szCs w:val="31"/>
            </w:rPr>
            <w:fldChar w:fldCharType="end"/>
          </w:r>
        </w:p>
        <w:p w14:paraId="2471FA51">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"bookmark8" </w:instrText>
          </w:r>
          <w:r>
            <w:fldChar w:fldCharType="separate"/>
          </w:r>
          <w:r>
            <w:rPr>
              <w:rFonts w:ascii="楷体" w:hAnsi="楷体" w:eastAsia="楷体" w:cs="楷体"/>
              <w:spacing w:val="6"/>
              <w:position w:val="2"/>
              <w:sz w:val="31"/>
              <w:szCs w:val="31"/>
            </w:rPr>
            <w:t>第一节  指导思想</w:t>
          </w:r>
          <w:r>
            <w:rPr>
              <w:rFonts w:ascii="楷体" w:hAnsi="楷体" w:eastAsia="楷体" w:cs="楷体"/>
              <w:spacing w:val="-54"/>
              <w:position w:val="2"/>
              <w:sz w:val="31"/>
              <w:szCs w:val="31"/>
            </w:rPr>
            <w:t xml:space="preserve"> </w:t>
          </w:r>
          <w:r>
            <w:rPr>
              <w:rFonts w:ascii="楷体" w:hAnsi="楷体" w:eastAsia="楷体" w:cs="楷体"/>
              <w:position w:val="2"/>
              <w:sz w:val="31"/>
              <w:szCs w:val="31"/>
            </w:rPr>
            <w:tab/>
          </w:r>
          <w:r>
            <w:rPr>
              <w:rFonts w:ascii="楷体" w:hAnsi="楷体" w:eastAsia="楷体" w:cs="楷体"/>
              <w:spacing w:val="9"/>
              <w:position w:val="2"/>
              <w:sz w:val="31"/>
              <w:szCs w:val="31"/>
            </w:rPr>
            <w:t xml:space="preserve"> </w:t>
          </w:r>
          <w:r>
            <w:rPr>
              <w:rFonts w:ascii="Times New Roman" w:hAnsi="Times New Roman" w:eastAsia="Times New Roman" w:cs="Times New Roman"/>
              <w:spacing w:val="-13"/>
              <w:position w:val="2"/>
              <w:sz w:val="31"/>
              <w:szCs w:val="31"/>
            </w:rPr>
            <w:t>-</w:t>
          </w:r>
          <w:r>
            <w:rPr>
              <w:rFonts w:ascii="Times New Roman" w:hAnsi="Times New Roman" w:eastAsia="Times New Roman" w:cs="Times New Roman"/>
              <w:spacing w:val="37"/>
              <w:position w:val="2"/>
              <w:sz w:val="31"/>
              <w:szCs w:val="31"/>
            </w:rPr>
            <w:t xml:space="preserve"> </w:t>
          </w:r>
          <w:r>
            <w:rPr>
              <w:rFonts w:ascii="Times New Roman" w:hAnsi="Times New Roman" w:eastAsia="Times New Roman" w:cs="Times New Roman"/>
              <w:spacing w:val="-13"/>
              <w:position w:val="2"/>
              <w:sz w:val="31"/>
              <w:szCs w:val="31"/>
            </w:rPr>
            <w:t>11</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13"/>
              <w:position w:val="2"/>
              <w:sz w:val="31"/>
              <w:szCs w:val="31"/>
            </w:rPr>
            <w:t>-</w:t>
          </w:r>
          <w:r>
            <w:rPr>
              <w:rFonts w:ascii="Times New Roman" w:hAnsi="Times New Roman" w:eastAsia="Times New Roman" w:cs="Times New Roman"/>
              <w:spacing w:val="-13"/>
              <w:position w:val="2"/>
              <w:sz w:val="31"/>
              <w:szCs w:val="31"/>
            </w:rPr>
            <w:fldChar w:fldCharType="end"/>
          </w:r>
        </w:p>
        <w:p w14:paraId="4D0E5EF9">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"bookmark9" </w:instrText>
          </w:r>
          <w:r>
            <w:fldChar w:fldCharType="separate"/>
          </w:r>
          <w:r>
            <w:rPr>
              <w:rFonts w:ascii="楷体" w:hAnsi="楷体" w:eastAsia="楷体" w:cs="楷体"/>
              <w:spacing w:val="6"/>
              <w:position w:val="2"/>
              <w:sz w:val="31"/>
              <w:szCs w:val="31"/>
            </w:rPr>
            <w:t>第二节  基本原则</w:t>
          </w:r>
          <w:r>
            <w:rPr>
              <w:rFonts w:ascii="楷体" w:hAnsi="楷体" w:eastAsia="楷体" w:cs="楷体"/>
              <w:spacing w:val="-54"/>
              <w:position w:val="2"/>
              <w:sz w:val="31"/>
              <w:szCs w:val="31"/>
            </w:rPr>
            <w:t xml:space="preserve"> </w:t>
          </w:r>
          <w:r>
            <w:rPr>
              <w:rFonts w:ascii="楷体" w:hAnsi="楷体" w:eastAsia="楷体" w:cs="楷体"/>
              <w:position w:val="2"/>
              <w:sz w:val="31"/>
              <w:szCs w:val="31"/>
            </w:rPr>
            <w:tab/>
          </w:r>
          <w:r>
            <w:rPr>
              <w:rFonts w:ascii="楷体" w:hAnsi="楷体" w:eastAsia="楷体" w:cs="楷体"/>
              <w:spacing w:val="9"/>
              <w:position w:val="2"/>
              <w:sz w:val="31"/>
              <w:szCs w:val="31"/>
            </w:rPr>
            <w:t xml:space="preserve"> </w:t>
          </w:r>
          <w:r>
            <w:rPr>
              <w:rFonts w:ascii="Times New Roman" w:hAnsi="Times New Roman" w:eastAsia="Times New Roman" w:cs="Times New Roman"/>
              <w:spacing w:val="-13"/>
              <w:position w:val="2"/>
              <w:sz w:val="31"/>
              <w:szCs w:val="31"/>
            </w:rPr>
            <w:t>-</w:t>
          </w:r>
          <w:r>
            <w:rPr>
              <w:rFonts w:ascii="Times New Roman" w:hAnsi="Times New Roman" w:eastAsia="Times New Roman" w:cs="Times New Roman"/>
              <w:spacing w:val="37"/>
              <w:position w:val="2"/>
              <w:sz w:val="31"/>
              <w:szCs w:val="31"/>
            </w:rPr>
            <w:t xml:space="preserve"> </w:t>
          </w:r>
          <w:r>
            <w:rPr>
              <w:rFonts w:ascii="Times New Roman" w:hAnsi="Times New Roman" w:eastAsia="Times New Roman" w:cs="Times New Roman"/>
              <w:spacing w:val="-13"/>
              <w:position w:val="2"/>
              <w:sz w:val="31"/>
              <w:szCs w:val="31"/>
            </w:rPr>
            <w:t>11</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13"/>
              <w:position w:val="2"/>
              <w:sz w:val="31"/>
              <w:szCs w:val="31"/>
            </w:rPr>
            <w:t>-</w:t>
          </w:r>
          <w:r>
            <w:rPr>
              <w:rFonts w:ascii="Times New Roman" w:hAnsi="Times New Roman" w:eastAsia="Times New Roman" w:cs="Times New Roman"/>
              <w:spacing w:val="-13"/>
              <w:position w:val="2"/>
              <w:sz w:val="31"/>
              <w:szCs w:val="31"/>
            </w:rPr>
            <w:fldChar w:fldCharType="end"/>
          </w:r>
        </w:p>
        <w:p w14:paraId="52A3BF3D">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"bookmark10" </w:instrText>
          </w:r>
          <w:r>
            <w:fldChar w:fldCharType="separate"/>
          </w:r>
          <w:r>
            <w:rPr>
              <w:rFonts w:ascii="楷体" w:hAnsi="楷体" w:eastAsia="楷体" w:cs="楷体"/>
              <w:spacing w:val="6"/>
              <w:position w:val="2"/>
              <w:sz w:val="31"/>
              <w:szCs w:val="31"/>
            </w:rPr>
            <w:t>第三节  规划目标</w:t>
          </w:r>
          <w:r>
            <w:rPr>
              <w:rFonts w:ascii="楷体" w:hAnsi="楷体" w:eastAsia="楷体" w:cs="楷体"/>
              <w:spacing w:val="-54"/>
              <w:position w:val="2"/>
              <w:sz w:val="31"/>
              <w:szCs w:val="31"/>
            </w:rPr>
            <w:t xml:space="preserve"> </w:t>
          </w:r>
          <w:r>
            <w:rPr>
              <w:rFonts w:ascii="楷体" w:hAnsi="楷体" w:eastAsia="楷体" w:cs="楷体"/>
              <w:position w:val="2"/>
              <w:sz w:val="31"/>
              <w:szCs w:val="31"/>
            </w:rPr>
            <w:tab/>
          </w:r>
          <w:r>
            <w:rPr>
              <w:rFonts w:ascii="楷体" w:hAnsi="楷体" w:eastAsia="楷体" w:cs="楷体"/>
              <w:spacing w:val="73"/>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42"/>
              <w:position w:val="2"/>
              <w:sz w:val="31"/>
              <w:szCs w:val="31"/>
            </w:rPr>
            <w:t xml:space="preserve"> </w:t>
          </w:r>
          <w:r>
            <w:rPr>
              <w:rFonts w:ascii="Times New Roman" w:hAnsi="Times New Roman" w:eastAsia="Times New Roman" w:cs="Times New Roman"/>
              <w:spacing w:val="-11"/>
              <w:position w:val="2"/>
              <w:sz w:val="31"/>
              <w:szCs w:val="31"/>
            </w:rPr>
            <w:t>12</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11"/>
              <w:position w:val="2"/>
              <w:sz w:val="31"/>
              <w:szCs w:val="31"/>
            </w:rPr>
            <w:fldChar w:fldCharType="end"/>
          </w:r>
        </w:p>
        <w:p w14:paraId="2005F766">
          <w:pPr>
            <w:tabs>
              <w:tab w:val="right" w:leader="dot" w:pos="8315"/>
            </w:tabs>
            <w:spacing w:before="208" w:line="415" w:lineRule="exact"/>
            <w:ind w:left="26"/>
            <w:rPr>
              <w:rFonts w:ascii="Times New Roman" w:hAnsi="Times New Roman" w:eastAsia="Times New Roman" w:cs="Times New Roman"/>
              <w:sz w:val="31"/>
              <w:szCs w:val="31"/>
            </w:rPr>
          </w:pPr>
          <w:r>
            <w:fldChar w:fldCharType="begin"/>
          </w:r>
          <w:r>
            <w:instrText xml:space="preserve"> HYPERLINK \l "bookmark11" </w:instrText>
          </w:r>
          <w:r>
            <w:fldChar w:fldCharType="separate"/>
          </w:r>
          <w:r>
            <w:rPr>
              <w:rFonts w:ascii="宋体" w:hAnsi="宋体" w:eastAsia="宋体" w:cs="宋体"/>
              <w:spacing w:val="8"/>
              <w:position w:val="1"/>
              <w:sz w:val="31"/>
              <w:szCs w:val="31"/>
            </w:rPr>
            <w:t>第三章  优化矿产勘查与开发布局</w:t>
          </w:r>
          <w:r>
            <w:rPr>
              <w:rFonts w:ascii="宋体" w:hAnsi="宋体" w:eastAsia="宋体" w:cs="宋体"/>
              <w:spacing w:val="-49"/>
              <w:position w:val="1"/>
              <w:sz w:val="31"/>
              <w:szCs w:val="31"/>
            </w:rPr>
            <w:t xml:space="preserve"> </w:t>
          </w:r>
          <w:r>
            <w:rPr>
              <w:rFonts w:ascii="宋体" w:hAnsi="宋体" w:eastAsia="宋体" w:cs="宋体"/>
              <w:position w:val="1"/>
              <w:sz w:val="31"/>
              <w:szCs w:val="31"/>
            </w:rPr>
            <w:tab/>
          </w:r>
          <w:r>
            <w:rPr>
              <w:rFonts w:ascii="宋体" w:hAnsi="宋体" w:eastAsia="宋体" w:cs="宋体"/>
              <w:spacing w:val="59"/>
              <w:position w:val="1"/>
              <w:sz w:val="31"/>
              <w:szCs w:val="31"/>
            </w:rPr>
            <w:t xml:space="preserve"> </w:t>
          </w:r>
          <w:r>
            <w:rPr>
              <w:rFonts w:ascii="Times New Roman" w:hAnsi="Times New Roman" w:eastAsia="Times New Roman" w:cs="Times New Roman"/>
              <w:spacing w:val="-11"/>
              <w:position w:val="1"/>
              <w:sz w:val="31"/>
              <w:szCs w:val="31"/>
            </w:rPr>
            <w:t>-</w:t>
          </w:r>
          <w:r>
            <w:rPr>
              <w:rFonts w:ascii="Times New Roman" w:hAnsi="Times New Roman" w:eastAsia="Times New Roman" w:cs="Times New Roman"/>
              <w:spacing w:val="42"/>
              <w:position w:val="1"/>
              <w:sz w:val="31"/>
              <w:szCs w:val="31"/>
            </w:rPr>
            <w:t xml:space="preserve"> </w:t>
          </w:r>
          <w:r>
            <w:rPr>
              <w:rFonts w:ascii="Times New Roman" w:hAnsi="Times New Roman" w:eastAsia="Times New Roman" w:cs="Times New Roman"/>
              <w:spacing w:val="-11"/>
              <w:position w:val="1"/>
              <w:sz w:val="31"/>
              <w:szCs w:val="31"/>
            </w:rPr>
            <w:t>16</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11"/>
              <w:position w:val="1"/>
              <w:sz w:val="31"/>
              <w:szCs w:val="31"/>
            </w:rPr>
            <w:t>-</w:t>
          </w:r>
          <w:r>
            <w:rPr>
              <w:rFonts w:ascii="Times New Roman" w:hAnsi="Times New Roman" w:eastAsia="Times New Roman" w:cs="Times New Roman"/>
              <w:spacing w:val="-11"/>
              <w:position w:val="1"/>
              <w:sz w:val="31"/>
              <w:szCs w:val="31"/>
            </w:rPr>
            <w:fldChar w:fldCharType="end"/>
          </w:r>
        </w:p>
        <w:p w14:paraId="19C77E77">
          <w:pPr>
            <w:tabs>
              <w:tab w:val="right" w:leader="dot" w:pos="8315"/>
            </w:tabs>
            <w:spacing w:before="209" w:line="415" w:lineRule="exact"/>
            <w:ind w:left="34"/>
            <w:rPr>
              <w:rFonts w:ascii="Times New Roman" w:hAnsi="Times New Roman" w:eastAsia="Times New Roman" w:cs="Times New Roman"/>
              <w:sz w:val="31"/>
              <w:szCs w:val="31"/>
            </w:rPr>
          </w:pPr>
          <w:r>
            <w:fldChar w:fldCharType="begin"/>
          </w:r>
          <w:r>
            <w:instrText xml:space="preserve"> HYPERLINK \l "bookmark12" </w:instrText>
          </w:r>
          <w:r>
            <w:fldChar w:fldCharType="separate"/>
          </w:r>
          <w:r>
            <w:rPr>
              <w:rFonts w:ascii="楷体" w:hAnsi="楷体" w:eastAsia="楷体" w:cs="楷体"/>
              <w:spacing w:val="8"/>
              <w:position w:val="2"/>
              <w:sz w:val="31"/>
              <w:szCs w:val="31"/>
            </w:rPr>
            <w:t>第一节 生态保护优先 优化勘查开发保护格局</w:t>
          </w:r>
          <w:r>
            <w:rPr>
              <w:rFonts w:ascii="楷体" w:hAnsi="楷体" w:eastAsia="楷体" w:cs="楷体"/>
              <w:spacing w:val="-49"/>
              <w:position w:val="2"/>
              <w:sz w:val="31"/>
              <w:szCs w:val="31"/>
            </w:rPr>
            <w:t xml:space="preserve"> </w:t>
          </w:r>
          <w:r>
            <w:rPr>
              <w:rFonts w:ascii="楷体" w:hAnsi="楷体" w:eastAsia="楷体" w:cs="楷体"/>
              <w:position w:val="2"/>
              <w:sz w:val="31"/>
              <w:szCs w:val="31"/>
            </w:rPr>
            <w:tab/>
          </w:r>
          <w:r>
            <w:rPr>
              <w:rFonts w:ascii="楷体" w:hAnsi="楷体" w:eastAsia="楷体" w:cs="楷体"/>
              <w:spacing w:val="73"/>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42"/>
              <w:position w:val="2"/>
              <w:sz w:val="31"/>
              <w:szCs w:val="31"/>
            </w:rPr>
            <w:t xml:space="preserve"> </w:t>
          </w:r>
          <w:r>
            <w:rPr>
              <w:rFonts w:ascii="Times New Roman" w:hAnsi="Times New Roman" w:eastAsia="Times New Roman" w:cs="Times New Roman"/>
              <w:spacing w:val="-11"/>
              <w:position w:val="2"/>
              <w:sz w:val="31"/>
              <w:szCs w:val="31"/>
            </w:rPr>
            <w:t>16</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11"/>
              <w:position w:val="2"/>
              <w:sz w:val="31"/>
              <w:szCs w:val="31"/>
            </w:rPr>
            <w:fldChar w:fldCharType="end"/>
          </w:r>
        </w:p>
        <w:p w14:paraId="1EC9655C">
          <w:pPr>
            <w:tabs>
              <w:tab w:val="right" w:leader="dot" w:pos="8315"/>
            </w:tabs>
            <w:spacing w:before="209" w:line="415" w:lineRule="exact"/>
            <w:ind w:left="34"/>
            <w:rPr>
              <w:rFonts w:ascii="Times New Roman" w:hAnsi="Times New Roman" w:eastAsia="Times New Roman" w:cs="Times New Roman"/>
              <w:sz w:val="31"/>
              <w:szCs w:val="31"/>
            </w:rPr>
          </w:pPr>
          <w:r>
            <w:fldChar w:fldCharType="begin"/>
          </w:r>
          <w:r>
            <w:instrText xml:space="preserve"> HYPERLINK \l "bookmark13" </w:instrText>
          </w:r>
          <w:r>
            <w:fldChar w:fldCharType="separate"/>
          </w:r>
          <w:r>
            <w:rPr>
              <w:rFonts w:ascii="楷体" w:hAnsi="楷体" w:eastAsia="楷体" w:cs="楷体"/>
              <w:spacing w:val="8"/>
              <w:position w:val="2"/>
              <w:sz w:val="31"/>
              <w:szCs w:val="31"/>
            </w:rPr>
            <w:t>第二节 强化资源安全保障 统筹勘查开发与保护</w:t>
          </w:r>
          <w:r>
            <w:rPr>
              <w:rFonts w:ascii="楷体" w:hAnsi="楷体" w:eastAsia="楷体" w:cs="楷体"/>
              <w:spacing w:val="-46"/>
              <w:position w:val="2"/>
              <w:sz w:val="31"/>
              <w:szCs w:val="31"/>
            </w:rPr>
            <w:t xml:space="preserve"> </w:t>
          </w:r>
          <w:r>
            <w:rPr>
              <w:rFonts w:ascii="楷体" w:hAnsi="楷体" w:eastAsia="楷体" w:cs="楷体"/>
              <w:position w:val="2"/>
              <w:sz w:val="31"/>
              <w:szCs w:val="31"/>
            </w:rPr>
            <w:tab/>
          </w:r>
          <w:r>
            <w:rPr>
              <w:rFonts w:ascii="楷体" w:hAnsi="楷体" w:eastAsia="楷体" w:cs="楷体"/>
              <w:spacing w:val="59"/>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42"/>
              <w:position w:val="2"/>
              <w:sz w:val="31"/>
              <w:szCs w:val="31"/>
            </w:rPr>
            <w:t xml:space="preserve"> </w:t>
          </w:r>
          <w:r>
            <w:rPr>
              <w:rFonts w:ascii="Times New Roman" w:hAnsi="Times New Roman" w:eastAsia="Times New Roman" w:cs="Times New Roman"/>
              <w:spacing w:val="-11"/>
              <w:position w:val="2"/>
              <w:sz w:val="31"/>
              <w:szCs w:val="31"/>
            </w:rPr>
            <w:t>18</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11"/>
              <w:position w:val="2"/>
              <w:sz w:val="31"/>
              <w:szCs w:val="31"/>
            </w:rPr>
            <w:t>-</w:t>
          </w:r>
          <w:r>
            <w:rPr>
              <w:rFonts w:ascii="Times New Roman" w:hAnsi="Times New Roman" w:eastAsia="Times New Roman" w:cs="Times New Roman"/>
              <w:spacing w:val="-11"/>
              <w:position w:val="2"/>
              <w:sz w:val="31"/>
              <w:szCs w:val="31"/>
            </w:rPr>
            <w:fldChar w:fldCharType="end"/>
          </w:r>
        </w:p>
        <w:p w14:paraId="12E26332">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"bookmark14" </w:instrText>
          </w:r>
          <w:r>
            <w:fldChar w:fldCharType="separate"/>
          </w:r>
          <w:r>
            <w:rPr>
              <w:rFonts w:ascii="楷体" w:hAnsi="楷体" w:eastAsia="楷体" w:cs="楷体"/>
              <w:spacing w:val="8"/>
              <w:position w:val="2"/>
              <w:sz w:val="31"/>
              <w:szCs w:val="31"/>
            </w:rPr>
            <w:t>第三节 摸清锂矿资源家底 推动锂资源产业开发</w:t>
          </w:r>
          <w:r>
            <w:rPr>
              <w:rFonts w:ascii="楷体" w:hAnsi="楷体" w:eastAsia="楷体" w:cs="楷体"/>
              <w:spacing w:val="-46"/>
              <w:position w:val="2"/>
              <w:sz w:val="31"/>
              <w:szCs w:val="31"/>
            </w:rPr>
            <w:t xml:space="preserve"> </w:t>
          </w:r>
          <w:r>
            <w:rPr>
              <w:rFonts w:ascii="楷体" w:hAnsi="楷体" w:eastAsia="楷体" w:cs="楷体"/>
              <w:position w:val="2"/>
              <w:sz w:val="31"/>
              <w:szCs w:val="31"/>
            </w:rPr>
            <w:tab/>
          </w:r>
          <w:r>
            <w:rPr>
              <w:rFonts w:ascii="楷体" w:hAnsi="楷体" w:eastAsia="楷体" w:cs="楷体"/>
              <w:spacing w:val="58"/>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1"/>
              <w:position w:val="2"/>
              <w:sz w:val="31"/>
              <w:szCs w:val="31"/>
            </w:rPr>
            <w:t xml:space="preserve"> </w:t>
          </w:r>
          <w:r>
            <w:rPr>
              <w:rFonts w:ascii="Times New Roman" w:hAnsi="Times New Roman" w:eastAsia="Times New Roman" w:cs="Times New Roman"/>
              <w:spacing w:val="-3"/>
              <w:position w:val="2"/>
              <w:sz w:val="31"/>
              <w:szCs w:val="31"/>
            </w:rPr>
            <w:t>21</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p w14:paraId="39FBFBBA">
          <w:pPr>
            <w:spacing w:before="208" w:line="416" w:lineRule="exact"/>
            <w:jc w:val="right"/>
            <w:rPr>
              <w:rFonts w:ascii="Times New Roman" w:hAnsi="Times New Roman" w:eastAsia="Times New Roman" w:cs="Times New Roman"/>
              <w:sz w:val="31"/>
              <w:szCs w:val="31"/>
            </w:rPr>
          </w:pPr>
          <w:r>
            <w:fldChar w:fldCharType="begin"/>
          </w:r>
          <w:r>
            <w:instrText xml:space="preserve"> HYPERLINK \l "bookmark15" </w:instrText>
          </w:r>
          <w:r>
            <w:fldChar w:fldCharType="separate"/>
          </w:r>
          <w:r>
            <w:rPr>
              <w:rFonts w:ascii="楷体" w:hAnsi="楷体" w:eastAsia="楷体" w:cs="楷体"/>
              <w:spacing w:val="7"/>
              <w:position w:val="2"/>
              <w:sz w:val="31"/>
              <w:szCs w:val="31"/>
            </w:rPr>
            <w:t>第四节 稳定金矿资源勘查开采 加强锰矿资源储备保护</w:t>
          </w:r>
          <w:r>
            <w:rPr>
              <w:rFonts w:ascii="Times New Roman" w:hAnsi="Times New Roman" w:eastAsia="Times New Roman" w:cs="Times New Roman"/>
              <w:spacing w:val="7"/>
              <w:position w:val="2"/>
              <w:sz w:val="31"/>
              <w:szCs w:val="31"/>
            </w:rPr>
            <w:t>- 22 -</w:t>
          </w:r>
          <w:r>
            <w:rPr>
              <w:rFonts w:ascii="Times New Roman" w:hAnsi="Times New Roman" w:eastAsia="Times New Roman" w:cs="Times New Roman"/>
              <w:spacing w:val="7"/>
              <w:position w:val="2"/>
              <w:sz w:val="31"/>
              <w:szCs w:val="31"/>
            </w:rPr>
            <w:fldChar w:fldCharType="end"/>
          </w:r>
        </w:p>
        <w:p w14:paraId="53979500">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"bookmark16" </w:instrText>
          </w:r>
          <w:r>
            <w:fldChar w:fldCharType="separate"/>
          </w:r>
          <w:r>
            <w:rPr>
              <w:rFonts w:ascii="楷体" w:hAnsi="楷体" w:eastAsia="楷体" w:cs="楷体"/>
              <w:spacing w:val="8"/>
              <w:position w:val="2"/>
              <w:sz w:val="31"/>
              <w:szCs w:val="31"/>
            </w:rPr>
            <w:t>第五节 科学划定矿产资源重点勘查开采区</w:t>
          </w:r>
          <w:r>
            <w:rPr>
              <w:rFonts w:ascii="楷体" w:hAnsi="楷体" w:eastAsia="楷体" w:cs="楷体"/>
              <w:spacing w:val="-48"/>
              <w:position w:val="2"/>
              <w:sz w:val="31"/>
              <w:szCs w:val="31"/>
            </w:rPr>
            <w:t xml:space="preserve"> </w:t>
          </w:r>
          <w:r>
            <w:rPr>
              <w:rFonts w:ascii="楷体" w:hAnsi="楷体" w:eastAsia="楷体" w:cs="楷体"/>
              <w:position w:val="2"/>
              <w:sz w:val="31"/>
              <w:szCs w:val="31"/>
            </w:rPr>
            <w:tab/>
          </w:r>
          <w:r>
            <w:rPr>
              <w:rFonts w:ascii="楷体" w:hAnsi="楷体" w:eastAsia="楷体" w:cs="楷体"/>
              <w:spacing w:val="14"/>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1"/>
              <w:position w:val="2"/>
              <w:sz w:val="31"/>
              <w:szCs w:val="31"/>
            </w:rPr>
            <w:t xml:space="preserve"> </w:t>
          </w:r>
          <w:r>
            <w:rPr>
              <w:rFonts w:ascii="Times New Roman" w:hAnsi="Times New Roman" w:eastAsia="Times New Roman" w:cs="Times New Roman"/>
              <w:spacing w:val="-3"/>
              <w:position w:val="2"/>
              <w:sz w:val="31"/>
              <w:szCs w:val="31"/>
            </w:rPr>
            <w:t>23</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p w14:paraId="324AA650">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"bookmark17" </w:instrText>
          </w:r>
          <w:r>
            <w:fldChar w:fldCharType="separate"/>
          </w:r>
          <w:r>
            <w:rPr>
              <w:rFonts w:ascii="楷体" w:hAnsi="楷体" w:eastAsia="楷体" w:cs="楷体"/>
              <w:spacing w:val="7"/>
              <w:position w:val="2"/>
              <w:sz w:val="31"/>
              <w:szCs w:val="31"/>
            </w:rPr>
            <w:t>第六节 严格规划准入管理</w:t>
          </w:r>
          <w:r>
            <w:rPr>
              <w:rFonts w:ascii="楷体" w:hAnsi="楷体" w:eastAsia="楷体" w:cs="楷体"/>
              <w:spacing w:val="-51"/>
              <w:position w:val="2"/>
              <w:sz w:val="31"/>
              <w:szCs w:val="31"/>
            </w:rPr>
            <w:t xml:space="preserve"> </w:t>
          </w:r>
          <w:r>
            <w:rPr>
              <w:rFonts w:ascii="楷体" w:hAnsi="楷体" w:eastAsia="楷体" w:cs="楷体"/>
              <w:position w:val="2"/>
              <w:sz w:val="31"/>
              <w:szCs w:val="31"/>
            </w:rPr>
            <w:tab/>
          </w:r>
          <w:r>
            <w:rPr>
              <w:rFonts w:ascii="楷体" w:hAnsi="楷体" w:eastAsia="楷体" w:cs="楷体"/>
              <w:spacing w:val="29"/>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1"/>
              <w:position w:val="2"/>
              <w:sz w:val="31"/>
              <w:szCs w:val="31"/>
            </w:rPr>
            <w:t xml:space="preserve"> </w:t>
          </w:r>
          <w:r>
            <w:rPr>
              <w:rFonts w:ascii="Times New Roman" w:hAnsi="Times New Roman" w:eastAsia="Times New Roman" w:cs="Times New Roman"/>
              <w:spacing w:val="-3"/>
              <w:position w:val="2"/>
              <w:sz w:val="31"/>
              <w:szCs w:val="31"/>
            </w:rPr>
            <w:t>25</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p w14:paraId="79097C47">
          <w:pPr>
            <w:tabs>
              <w:tab w:val="right" w:leader="dot" w:pos="8315"/>
            </w:tabs>
            <w:spacing w:before="208" w:line="415" w:lineRule="exact"/>
            <w:ind w:left="26"/>
            <w:rPr>
              <w:rFonts w:ascii="Times New Roman" w:hAnsi="Times New Roman" w:eastAsia="Times New Roman" w:cs="Times New Roman"/>
              <w:sz w:val="31"/>
              <w:szCs w:val="31"/>
            </w:rPr>
          </w:pPr>
          <w:r>
            <w:fldChar w:fldCharType="begin"/>
          </w:r>
          <w:r>
            <w:instrText xml:space="preserve"> HYPERLINK \l "bookmark18" </w:instrText>
          </w:r>
          <w:r>
            <w:fldChar w:fldCharType="separate"/>
          </w:r>
          <w:r>
            <w:rPr>
              <w:rFonts w:ascii="宋体" w:hAnsi="宋体" w:eastAsia="宋体" w:cs="宋体"/>
              <w:spacing w:val="8"/>
              <w:position w:val="1"/>
              <w:sz w:val="31"/>
              <w:szCs w:val="31"/>
            </w:rPr>
            <w:t>第四章 坚持集约节约 促进资源高效利用</w:t>
          </w:r>
          <w:r>
            <w:rPr>
              <w:rFonts w:ascii="宋体" w:hAnsi="宋体" w:eastAsia="宋体" w:cs="宋体"/>
              <w:spacing w:val="-43"/>
              <w:position w:val="1"/>
              <w:sz w:val="31"/>
              <w:szCs w:val="31"/>
            </w:rPr>
            <w:t xml:space="preserve"> </w:t>
          </w:r>
          <w:r>
            <w:rPr>
              <w:rFonts w:ascii="宋体" w:hAnsi="宋体" w:eastAsia="宋体" w:cs="宋体"/>
              <w:position w:val="1"/>
              <w:sz w:val="31"/>
              <w:szCs w:val="31"/>
            </w:rPr>
            <w:tab/>
          </w:r>
          <w:r>
            <w:rPr>
              <w:rFonts w:ascii="宋体" w:hAnsi="宋体" w:eastAsia="宋体" w:cs="宋体"/>
              <w:spacing w:val="19"/>
              <w:position w:val="1"/>
              <w:sz w:val="31"/>
              <w:szCs w:val="31"/>
            </w:rPr>
            <w:t xml:space="preserve"> </w:t>
          </w:r>
          <w:r>
            <w:rPr>
              <w:rFonts w:ascii="Times New Roman" w:hAnsi="Times New Roman" w:eastAsia="Times New Roman" w:cs="Times New Roman"/>
              <w:spacing w:val="-3"/>
              <w:position w:val="1"/>
              <w:sz w:val="31"/>
              <w:szCs w:val="31"/>
            </w:rPr>
            <w:t>-</w:t>
          </w:r>
          <w:r>
            <w:rPr>
              <w:rFonts w:ascii="Times New Roman" w:hAnsi="Times New Roman" w:eastAsia="Times New Roman" w:cs="Times New Roman"/>
              <w:spacing w:val="11"/>
              <w:position w:val="1"/>
              <w:sz w:val="31"/>
              <w:szCs w:val="31"/>
            </w:rPr>
            <w:t xml:space="preserve"> </w:t>
          </w:r>
          <w:r>
            <w:rPr>
              <w:rFonts w:ascii="Times New Roman" w:hAnsi="Times New Roman" w:eastAsia="Times New Roman" w:cs="Times New Roman"/>
              <w:spacing w:val="-3"/>
              <w:position w:val="1"/>
              <w:sz w:val="31"/>
              <w:szCs w:val="31"/>
            </w:rPr>
            <w:t>28</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3"/>
              <w:position w:val="1"/>
              <w:sz w:val="31"/>
              <w:szCs w:val="31"/>
            </w:rPr>
            <w:t>-</w:t>
          </w:r>
          <w:r>
            <w:rPr>
              <w:rFonts w:ascii="Times New Roman" w:hAnsi="Times New Roman" w:eastAsia="Times New Roman" w:cs="Times New Roman"/>
              <w:spacing w:val="-3"/>
              <w:position w:val="1"/>
              <w:sz w:val="31"/>
              <w:szCs w:val="31"/>
            </w:rPr>
            <w:fldChar w:fldCharType="end"/>
          </w:r>
        </w:p>
        <w:p w14:paraId="753BEB61">
          <w:pPr>
            <w:tabs>
              <w:tab w:val="right" w:leader="dot" w:pos="8315"/>
            </w:tabs>
            <w:spacing w:before="209" w:line="415" w:lineRule="exact"/>
            <w:ind w:left="34"/>
            <w:rPr>
              <w:rFonts w:ascii="Times New Roman" w:hAnsi="Times New Roman" w:eastAsia="Times New Roman" w:cs="Times New Roman"/>
              <w:sz w:val="31"/>
              <w:szCs w:val="31"/>
            </w:rPr>
          </w:pPr>
          <w:r>
            <w:fldChar w:fldCharType="begin"/>
          </w:r>
          <w:r>
            <w:instrText xml:space="preserve"> HYPERLINK \l "bookmark19" </w:instrText>
          </w:r>
          <w:r>
            <w:fldChar w:fldCharType="separate"/>
          </w:r>
          <w:r>
            <w:rPr>
              <w:rFonts w:ascii="楷体" w:hAnsi="楷体" w:eastAsia="楷体" w:cs="楷体"/>
              <w:spacing w:val="8"/>
              <w:position w:val="2"/>
              <w:sz w:val="31"/>
              <w:szCs w:val="31"/>
            </w:rPr>
            <w:t>第一节 合理确定矿产资源开发利用总量</w:t>
          </w:r>
          <w:r>
            <w:rPr>
              <w:rFonts w:ascii="楷体" w:hAnsi="楷体" w:eastAsia="楷体" w:cs="楷体"/>
              <w:spacing w:val="-52"/>
              <w:position w:val="2"/>
              <w:sz w:val="31"/>
              <w:szCs w:val="31"/>
            </w:rPr>
            <w:t xml:space="preserve"> </w:t>
          </w:r>
          <w:r>
            <w:rPr>
              <w:rFonts w:ascii="楷体" w:hAnsi="楷体" w:eastAsia="楷体" w:cs="楷体"/>
              <w:position w:val="2"/>
              <w:sz w:val="31"/>
              <w:szCs w:val="31"/>
            </w:rPr>
            <w:tab/>
          </w:r>
          <w:r>
            <w:rPr>
              <w:rFonts w:ascii="楷体" w:hAnsi="楷体" w:eastAsia="楷体" w:cs="楷体"/>
              <w:spacing w:val="29"/>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1"/>
              <w:position w:val="2"/>
              <w:sz w:val="31"/>
              <w:szCs w:val="31"/>
            </w:rPr>
            <w:t xml:space="preserve"> </w:t>
          </w:r>
          <w:r>
            <w:rPr>
              <w:rFonts w:ascii="Times New Roman" w:hAnsi="Times New Roman" w:eastAsia="Times New Roman" w:cs="Times New Roman"/>
              <w:spacing w:val="-3"/>
              <w:position w:val="2"/>
              <w:sz w:val="31"/>
              <w:szCs w:val="31"/>
            </w:rPr>
            <w:t>28</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p w14:paraId="49D91016">
          <w:pPr>
            <w:tabs>
              <w:tab w:val="right" w:leader="dot" w:pos="8315"/>
            </w:tabs>
            <w:spacing w:before="209" w:line="415" w:lineRule="exact"/>
            <w:ind w:left="34"/>
            <w:rPr>
              <w:rFonts w:ascii="Times New Roman" w:hAnsi="Times New Roman" w:eastAsia="Times New Roman" w:cs="Times New Roman"/>
              <w:sz w:val="31"/>
              <w:szCs w:val="31"/>
            </w:rPr>
          </w:pPr>
          <w:r>
            <w:fldChar w:fldCharType="begin"/>
          </w:r>
          <w:r>
            <w:instrText xml:space="preserve"> HYPERLINK \l "bookmark20" </w:instrText>
          </w:r>
          <w:r>
            <w:fldChar w:fldCharType="separate"/>
          </w:r>
          <w:r>
            <w:rPr>
              <w:rFonts w:ascii="楷体" w:hAnsi="楷体" w:eastAsia="楷体" w:cs="楷体"/>
              <w:spacing w:val="8"/>
              <w:position w:val="2"/>
              <w:sz w:val="31"/>
              <w:szCs w:val="31"/>
            </w:rPr>
            <w:t>第二节 优化矿产资源开发利用结构</w:t>
          </w:r>
          <w:r>
            <w:rPr>
              <w:rFonts w:ascii="楷体" w:hAnsi="楷体" w:eastAsia="楷体" w:cs="楷体"/>
              <w:spacing w:val="-54"/>
              <w:position w:val="2"/>
              <w:sz w:val="31"/>
              <w:szCs w:val="31"/>
            </w:rPr>
            <w:t xml:space="preserve"> </w:t>
          </w:r>
          <w:r>
            <w:rPr>
              <w:rFonts w:ascii="楷体" w:hAnsi="楷体" w:eastAsia="楷体" w:cs="楷体"/>
              <w:position w:val="2"/>
              <w:sz w:val="31"/>
              <w:szCs w:val="31"/>
            </w:rPr>
            <w:tab/>
          </w:r>
          <w:r>
            <w:rPr>
              <w:rFonts w:ascii="楷体" w:hAnsi="楷体" w:eastAsia="楷体" w:cs="楷体"/>
              <w:spacing w:val="53"/>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1"/>
              <w:position w:val="2"/>
              <w:sz w:val="31"/>
              <w:szCs w:val="31"/>
            </w:rPr>
            <w:t xml:space="preserve"> </w:t>
          </w:r>
          <w:r>
            <w:rPr>
              <w:rFonts w:ascii="Times New Roman" w:hAnsi="Times New Roman" w:eastAsia="Times New Roman" w:cs="Times New Roman"/>
              <w:spacing w:val="-3"/>
              <w:position w:val="2"/>
              <w:sz w:val="31"/>
              <w:szCs w:val="31"/>
            </w:rPr>
            <w:t>29</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p w14:paraId="75704339">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"bookmark21" </w:instrText>
          </w:r>
          <w:r>
            <w:fldChar w:fldCharType="separate"/>
          </w:r>
          <w:r>
            <w:rPr>
              <w:rFonts w:ascii="楷体" w:hAnsi="楷体" w:eastAsia="楷体" w:cs="楷体"/>
              <w:spacing w:val="8"/>
              <w:position w:val="2"/>
              <w:sz w:val="31"/>
              <w:szCs w:val="31"/>
            </w:rPr>
            <w:t>第三节 严格砂石土资源开发利用管控</w:t>
          </w:r>
          <w:r>
            <w:rPr>
              <w:rFonts w:ascii="楷体" w:hAnsi="楷体" w:eastAsia="楷体" w:cs="楷体"/>
              <w:spacing w:val="-50"/>
              <w:position w:val="2"/>
              <w:sz w:val="31"/>
              <w:szCs w:val="31"/>
            </w:rPr>
            <w:t xml:space="preserve"> </w:t>
          </w:r>
          <w:r>
            <w:rPr>
              <w:rFonts w:ascii="楷体" w:hAnsi="楷体" w:eastAsia="楷体" w:cs="楷体"/>
              <w:position w:val="2"/>
              <w:sz w:val="31"/>
              <w:szCs w:val="31"/>
            </w:rPr>
            <w:tab/>
          </w:r>
          <w:r>
            <w:rPr>
              <w:rFonts w:ascii="楷体" w:hAnsi="楷体" w:eastAsia="楷体" w:cs="楷体"/>
              <w:spacing w:val="40"/>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30</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5"/>
              <w:position w:val="2"/>
              <w:sz w:val="31"/>
              <w:szCs w:val="31"/>
            </w:rPr>
            <w:fldChar w:fldCharType="end"/>
          </w:r>
        </w:p>
      </w:sdtContent>
    </w:sdt>
    <w:p w14:paraId="4381925E">
      <w:pPr>
        <w:spacing w:line="416" w:lineRule="exact"/>
        <w:rPr>
          <w:rFonts w:ascii="Times New Roman" w:hAnsi="Times New Roman" w:eastAsia="Times New Roman" w:cs="Times New Roman"/>
          <w:sz w:val="31"/>
          <w:szCs w:val="31"/>
        </w:rPr>
        <w:sectPr>
          <w:footerReference r:id="rId5" w:type="default"/>
          <w:pgSz w:w="11904" w:h="16835"/>
          <w:pgMar w:top="1430" w:right="1734" w:bottom="1289" w:left="1785" w:header="0" w:footer="920" w:gutter="0"/>
          <w:cols w:space="720" w:num="1"/>
        </w:sectPr>
      </w:pPr>
    </w:p>
    <w:sdt>
      <w:sdtPr>
        <w:rPr>
          <w:rFonts w:ascii="楷体" w:hAnsi="楷体" w:eastAsia="楷体" w:cs="楷体"/>
          <w:sz w:val="31"/>
          <w:szCs w:val="31"/>
        </w:rPr>
        <w:id w:val="147470568"/>
        <w:docPartObj>
          <w:docPartGallery w:val="Table of Contents"/>
          <w:docPartUnique/>
        </w:docPartObj>
      </w:sdtPr>
      <w:sdtEndPr>
        <w:rPr>
          <w:rFonts w:ascii="Times New Roman" w:hAnsi="Times New Roman" w:eastAsia="Times New Roman" w:cs="Times New Roman"/>
          <w:sz w:val="31"/>
          <w:szCs w:val="31"/>
        </w:rPr>
      </w:sdtEndPr>
      <w:sdtContent>
        <w:p w14:paraId="6635500C">
          <w:pPr>
            <w:tabs>
              <w:tab w:val="right" w:leader="dot" w:pos="8315"/>
            </w:tabs>
            <w:spacing w:before="88" w:line="415" w:lineRule="exact"/>
            <w:ind w:left="34"/>
            <w:rPr>
              <w:rFonts w:ascii="Times New Roman" w:hAnsi="Times New Roman" w:eastAsia="Times New Roman" w:cs="Times New Roman"/>
              <w:sz w:val="31"/>
              <w:szCs w:val="31"/>
            </w:rPr>
          </w:pPr>
          <w:r>
            <w:fldChar w:fldCharType="begin"/>
          </w:r>
          <w:r>
            <w:instrText xml:space="preserve"> HYPERLINK \l "bookmark22" </w:instrText>
          </w:r>
          <w:r>
            <w:fldChar w:fldCharType="separate"/>
          </w:r>
          <w:r>
            <w:rPr>
              <w:rFonts w:ascii="楷体" w:hAnsi="楷体" w:eastAsia="楷体" w:cs="楷体"/>
              <w:spacing w:val="8"/>
              <w:position w:val="2"/>
              <w:sz w:val="31"/>
              <w:szCs w:val="31"/>
            </w:rPr>
            <w:t>第四节 加强矿产资源节约与综合利用</w:t>
          </w:r>
          <w:r>
            <w:rPr>
              <w:rFonts w:ascii="楷体" w:hAnsi="楷体" w:eastAsia="楷体" w:cs="楷体"/>
              <w:spacing w:val="-50"/>
              <w:position w:val="2"/>
              <w:sz w:val="31"/>
              <w:szCs w:val="31"/>
            </w:rPr>
            <w:t xml:space="preserve"> </w:t>
          </w:r>
          <w:r>
            <w:rPr>
              <w:rFonts w:ascii="楷体" w:hAnsi="楷体" w:eastAsia="楷体" w:cs="楷体"/>
              <w:position w:val="2"/>
              <w:sz w:val="31"/>
              <w:szCs w:val="31"/>
            </w:rPr>
            <w:tab/>
          </w:r>
          <w:r>
            <w:rPr>
              <w:rFonts w:ascii="楷体" w:hAnsi="楷体" w:eastAsia="楷体" w:cs="楷体"/>
              <w:spacing w:val="40"/>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31</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5"/>
              <w:position w:val="2"/>
              <w:sz w:val="31"/>
              <w:szCs w:val="31"/>
            </w:rPr>
            <w:fldChar w:fldCharType="end"/>
          </w:r>
        </w:p>
        <w:p w14:paraId="46151F90">
          <w:pPr>
            <w:tabs>
              <w:tab w:val="right" w:leader="dot" w:pos="8315"/>
            </w:tabs>
            <w:spacing w:before="208" w:line="415" w:lineRule="exact"/>
            <w:ind w:left="34"/>
            <w:rPr>
              <w:rFonts w:ascii="Times New Roman" w:hAnsi="Times New Roman" w:eastAsia="Times New Roman" w:cs="Times New Roman"/>
              <w:sz w:val="31"/>
              <w:szCs w:val="31"/>
            </w:rPr>
          </w:pPr>
          <w:r>
            <w:fldChar w:fldCharType="begin"/>
          </w:r>
          <w:r>
            <w:instrText xml:space="preserve"> HYPERLINK \l "bookmark23" </w:instrText>
          </w:r>
          <w:r>
            <w:fldChar w:fldCharType="separate"/>
          </w:r>
          <w:r>
            <w:rPr>
              <w:rFonts w:ascii="楷体" w:hAnsi="楷体" w:eastAsia="楷体" w:cs="楷体"/>
              <w:spacing w:val="7"/>
              <w:position w:val="2"/>
              <w:sz w:val="31"/>
              <w:szCs w:val="31"/>
            </w:rPr>
            <w:t>第五节 深化矿产资源管理改革</w:t>
          </w:r>
          <w:r>
            <w:rPr>
              <w:rFonts w:ascii="楷体" w:hAnsi="楷体" w:eastAsia="楷体" w:cs="楷体"/>
              <w:spacing w:val="-42"/>
              <w:position w:val="2"/>
              <w:sz w:val="31"/>
              <w:szCs w:val="31"/>
            </w:rPr>
            <w:t xml:space="preserve"> </w:t>
          </w:r>
          <w:r>
            <w:rPr>
              <w:rFonts w:ascii="楷体" w:hAnsi="楷体" w:eastAsia="楷体" w:cs="楷体"/>
              <w:position w:val="2"/>
              <w:sz w:val="31"/>
              <w:szCs w:val="31"/>
            </w:rPr>
            <w:tab/>
          </w:r>
          <w:r>
            <w:rPr>
              <w:rFonts w:ascii="楷体" w:hAnsi="楷体" w:eastAsia="楷体" w:cs="楷体"/>
              <w:spacing w:val="2"/>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33</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5"/>
              <w:position w:val="2"/>
              <w:sz w:val="31"/>
              <w:szCs w:val="31"/>
            </w:rPr>
            <w:fldChar w:fldCharType="end"/>
          </w:r>
        </w:p>
        <w:p w14:paraId="22297084">
          <w:pPr>
            <w:tabs>
              <w:tab w:val="right" w:leader="dot" w:pos="8315"/>
            </w:tabs>
            <w:spacing w:before="208" w:line="415" w:lineRule="exact"/>
            <w:ind w:left="26"/>
            <w:rPr>
              <w:rFonts w:ascii="Times New Roman" w:hAnsi="Times New Roman" w:eastAsia="Times New Roman" w:cs="Times New Roman"/>
              <w:sz w:val="31"/>
              <w:szCs w:val="31"/>
            </w:rPr>
          </w:pPr>
          <w:r>
            <w:fldChar w:fldCharType="begin"/>
          </w:r>
          <w:r>
            <w:instrText xml:space="preserve"> HYPERLINK \l "bookmark24" </w:instrText>
          </w:r>
          <w:r>
            <w:fldChar w:fldCharType="separate"/>
          </w:r>
          <w:r>
            <w:rPr>
              <w:rFonts w:ascii="宋体" w:hAnsi="宋体" w:eastAsia="宋体" w:cs="宋体"/>
              <w:spacing w:val="8"/>
              <w:position w:val="1"/>
              <w:sz w:val="31"/>
              <w:szCs w:val="31"/>
            </w:rPr>
            <w:t>第五章 加快推进绿色矿业发展  促进矿业转型升级</w:t>
          </w:r>
          <w:r>
            <w:rPr>
              <w:rFonts w:ascii="宋体" w:hAnsi="宋体" w:eastAsia="宋体" w:cs="宋体"/>
              <w:spacing w:val="-38"/>
              <w:position w:val="1"/>
              <w:sz w:val="31"/>
              <w:szCs w:val="31"/>
            </w:rPr>
            <w:t xml:space="preserve"> </w:t>
          </w:r>
          <w:r>
            <w:rPr>
              <w:rFonts w:ascii="宋体" w:hAnsi="宋体" w:eastAsia="宋体" w:cs="宋体"/>
              <w:position w:val="1"/>
              <w:sz w:val="31"/>
              <w:szCs w:val="31"/>
            </w:rPr>
            <w:tab/>
          </w:r>
          <w:r>
            <w:rPr>
              <w:rFonts w:ascii="宋体" w:hAnsi="宋体" w:eastAsia="宋体" w:cs="宋体"/>
              <w:spacing w:val="40"/>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36</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5"/>
              <w:position w:val="1"/>
              <w:sz w:val="31"/>
              <w:szCs w:val="31"/>
            </w:rPr>
            <w:fldChar w:fldCharType="end"/>
          </w:r>
        </w:p>
        <w:p w14:paraId="17317811">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"bookmark25" </w:instrText>
          </w:r>
          <w:r>
            <w:fldChar w:fldCharType="separate"/>
          </w:r>
          <w:r>
            <w:rPr>
              <w:rFonts w:ascii="楷体" w:hAnsi="楷体" w:eastAsia="楷体" w:cs="楷体"/>
              <w:spacing w:val="7"/>
              <w:position w:val="1"/>
              <w:sz w:val="31"/>
              <w:szCs w:val="31"/>
            </w:rPr>
            <w:t>第一节 严格绿色勘查要求</w:t>
          </w:r>
          <w:r>
            <w:rPr>
              <w:rFonts w:ascii="楷体" w:hAnsi="楷体" w:eastAsia="楷体" w:cs="楷体"/>
              <w:spacing w:val="-51"/>
              <w:position w:val="1"/>
              <w:sz w:val="31"/>
              <w:szCs w:val="31"/>
            </w:rPr>
            <w:t xml:space="preserve"> </w:t>
          </w:r>
          <w:r>
            <w:rPr>
              <w:rFonts w:ascii="楷体" w:hAnsi="楷体" w:eastAsia="楷体" w:cs="楷体"/>
              <w:position w:val="1"/>
              <w:sz w:val="31"/>
              <w:szCs w:val="31"/>
            </w:rPr>
            <w:tab/>
          </w:r>
          <w:r>
            <w:rPr>
              <w:rFonts w:ascii="楷体" w:hAnsi="楷体" w:eastAsia="楷体" w:cs="楷体"/>
              <w:spacing w:val="31"/>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36</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5"/>
              <w:position w:val="1"/>
              <w:sz w:val="31"/>
              <w:szCs w:val="31"/>
            </w:rPr>
            <w:fldChar w:fldCharType="end"/>
          </w:r>
        </w:p>
        <w:p w14:paraId="485B2F77">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"bookmark26" </w:instrText>
          </w:r>
          <w:r>
            <w:fldChar w:fldCharType="separate"/>
          </w:r>
          <w:r>
            <w:rPr>
              <w:rFonts w:ascii="楷体" w:hAnsi="楷体" w:eastAsia="楷体" w:cs="楷体"/>
              <w:spacing w:val="7"/>
              <w:position w:val="1"/>
              <w:sz w:val="31"/>
              <w:szCs w:val="31"/>
            </w:rPr>
            <w:t>第二节 加快推进绿色矿山建设</w:t>
          </w:r>
          <w:r>
            <w:rPr>
              <w:rFonts w:ascii="楷体" w:hAnsi="楷体" w:eastAsia="楷体" w:cs="楷体"/>
              <w:spacing w:val="-42"/>
              <w:position w:val="1"/>
              <w:sz w:val="31"/>
              <w:szCs w:val="31"/>
            </w:rPr>
            <w:t xml:space="preserve"> </w:t>
          </w:r>
          <w:r>
            <w:rPr>
              <w:rFonts w:ascii="楷体" w:hAnsi="楷体" w:eastAsia="楷体" w:cs="楷体"/>
              <w:position w:val="1"/>
              <w:sz w:val="31"/>
              <w:szCs w:val="31"/>
            </w:rPr>
            <w:tab/>
          </w:r>
          <w:r>
            <w:rPr>
              <w:rFonts w:ascii="楷体" w:hAnsi="楷体" w:eastAsia="楷体" w:cs="楷体"/>
              <w:spacing w:val="2"/>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37</w:t>
          </w:r>
          <w:r>
            <w:rPr>
              <w:rFonts w:ascii="Times New Roman" w:hAnsi="Times New Roman" w:eastAsia="Times New Roman" w:cs="Times New Roman"/>
              <w:spacing w:val="17"/>
              <w:position w:val="1"/>
              <w:sz w:val="31"/>
              <w:szCs w:val="31"/>
            </w:rPr>
            <w:t xml:space="preserve"> </w:t>
          </w:r>
          <w:r>
            <w:rPr>
              <w:rFonts w:ascii="Times New Roman" w:hAnsi="Times New Roman" w:eastAsia="Times New Roman" w:cs="Times New Roman"/>
              <w:spacing w:val="-5"/>
              <w:position w:val="1"/>
              <w:sz w:val="31"/>
              <w:szCs w:val="31"/>
            </w:rPr>
            <w:t>-</w:t>
          </w:r>
          <w:r>
            <w:rPr>
              <w:rFonts w:ascii="Times New Roman" w:hAnsi="Times New Roman" w:eastAsia="Times New Roman" w:cs="Times New Roman"/>
              <w:spacing w:val="-5"/>
              <w:position w:val="1"/>
              <w:sz w:val="31"/>
              <w:szCs w:val="31"/>
            </w:rPr>
            <w:fldChar w:fldCharType="end"/>
          </w:r>
        </w:p>
        <w:p w14:paraId="619B89F1">
          <w:pPr>
            <w:tabs>
              <w:tab w:val="right" w:leader="dot" w:pos="8315"/>
            </w:tabs>
            <w:spacing w:before="208" w:line="416" w:lineRule="exact"/>
            <w:ind w:left="34"/>
            <w:rPr>
              <w:rFonts w:ascii="Times New Roman" w:hAnsi="Times New Roman" w:eastAsia="Times New Roman" w:cs="Times New Roman"/>
              <w:sz w:val="31"/>
              <w:szCs w:val="31"/>
            </w:rPr>
          </w:pPr>
          <w:r>
            <w:fldChar w:fldCharType="begin"/>
          </w:r>
          <w:r>
            <w:instrText xml:space="preserve"> HYPERLINK \l "bookmark27" </w:instrText>
          </w:r>
          <w:r>
            <w:fldChar w:fldCharType="separate"/>
          </w:r>
          <w:r>
            <w:rPr>
              <w:rFonts w:ascii="楷体" w:hAnsi="楷体" w:eastAsia="楷体" w:cs="楷体"/>
              <w:spacing w:val="7"/>
              <w:position w:val="2"/>
              <w:sz w:val="31"/>
              <w:szCs w:val="31"/>
            </w:rPr>
            <w:t>第三节 加强矿山生态保护修复</w:t>
          </w:r>
          <w:r>
            <w:rPr>
              <w:rFonts w:ascii="楷体" w:hAnsi="楷体" w:eastAsia="楷体" w:cs="楷体"/>
              <w:spacing w:val="-42"/>
              <w:position w:val="2"/>
              <w:sz w:val="31"/>
              <w:szCs w:val="31"/>
            </w:rPr>
            <w:t xml:space="preserve"> </w:t>
          </w:r>
          <w:r>
            <w:rPr>
              <w:rFonts w:ascii="楷体" w:hAnsi="楷体" w:eastAsia="楷体" w:cs="楷体"/>
              <w:position w:val="2"/>
              <w:sz w:val="31"/>
              <w:szCs w:val="31"/>
            </w:rPr>
            <w:tab/>
          </w:r>
          <w:r>
            <w:rPr>
              <w:rFonts w:ascii="楷体" w:hAnsi="楷体" w:eastAsia="楷体" w:cs="楷体"/>
              <w:spacing w:val="2"/>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38</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5"/>
              <w:position w:val="2"/>
              <w:sz w:val="31"/>
              <w:szCs w:val="31"/>
            </w:rPr>
            <w:t>-</w:t>
          </w:r>
          <w:r>
            <w:rPr>
              <w:rFonts w:ascii="Times New Roman" w:hAnsi="Times New Roman" w:eastAsia="Times New Roman" w:cs="Times New Roman"/>
              <w:spacing w:val="-5"/>
              <w:position w:val="2"/>
              <w:sz w:val="31"/>
              <w:szCs w:val="31"/>
            </w:rPr>
            <w:fldChar w:fldCharType="end"/>
          </w:r>
        </w:p>
        <w:p w14:paraId="6331CCA9">
          <w:pPr>
            <w:tabs>
              <w:tab w:val="right" w:leader="dot" w:pos="8315"/>
            </w:tabs>
            <w:spacing w:before="208" w:line="415" w:lineRule="exact"/>
            <w:ind w:left="34"/>
            <w:rPr>
              <w:rFonts w:ascii="Times New Roman" w:hAnsi="Times New Roman" w:eastAsia="Times New Roman" w:cs="Times New Roman"/>
              <w:sz w:val="31"/>
              <w:szCs w:val="31"/>
            </w:rPr>
          </w:pPr>
          <w:r>
            <w:fldChar w:fldCharType="begin"/>
          </w:r>
          <w:r>
            <w:instrText xml:space="preserve"> HYPERLINK \l "bookmark28" </w:instrText>
          </w:r>
          <w:r>
            <w:fldChar w:fldCharType="separate"/>
          </w:r>
          <w:r>
            <w:rPr>
              <w:rFonts w:ascii="楷体" w:hAnsi="楷体" w:eastAsia="楷体" w:cs="楷体"/>
              <w:spacing w:val="8"/>
              <w:position w:val="2"/>
              <w:sz w:val="31"/>
              <w:szCs w:val="31"/>
            </w:rPr>
            <w:t>第四节 推动历史遗留矿山生态修复工程</w:t>
          </w:r>
          <w:r>
            <w:rPr>
              <w:rFonts w:ascii="楷体" w:hAnsi="楷体" w:eastAsia="楷体" w:cs="楷体"/>
              <w:spacing w:val="-52"/>
              <w:position w:val="2"/>
              <w:sz w:val="31"/>
              <w:szCs w:val="31"/>
            </w:rPr>
            <w:t xml:space="preserve"> </w:t>
          </w:r>
          <w:r>
            <w:rPr>
              <w:rFonts w:ascii="楷体" w:hAnsi="楷体" w:eastAsia="楷体" w:cs="楷体"/>
              <w:position w:val="2"/>
              <w:sz w:val="31"/>
              <w:szCs w:val="31"/>
            </w:rPr>
            <w:tab/>
          </w:r>
          <w:r>
            <w:rPr>
              <w:rFonts w:ascii="楷体" w:hAnsi="楷体" w:eastAsia="楷体" w:cs="楷体"/>
              <w:spacing w:val="30"/>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10"/>
              <w:position w:val="2"/>
              <w:sz w:val="31"/>
              <w:szCs w:val="31"/>
            </w:rPr>
            <w:t xml:space="preserve"> </w:t>
          </w:r>
          <w:r>
            <w:rPr>
              <w:rFonts w:ascii="Times New Roman" w:hAnsi="Times New Roman" w:eastAsia="Times New Roman" w:cs="Times New Roman"/>
              <w:spacing w:val="-3"/>
              <w:position w:val="2"/>
              <w:sz w:val="31"/>
              <w:szCs w:val="31"/>
            </w:rPr>
            <w:t>41</w:t>
          </w:r>
          <w:r>
            <w:rPr>
              <w:rFonts w:ascii="Times New Roman" w:hAnsi="Times New Roman" w:eastAsia="Times New Roman" w:cs="Times New Roman"/>
              <w:spacing w:val="17"/>
              <w:position w:val="2"/>
              <w:sz w:val="31"/>
              <w:szCs w:val="31"/>
            </w:rPr>
            <w:t xml:space="preserve"> </w:t>
          </w:r>
          <w:r>
            <w:rPr>
              <w:rFonts w:ascii="Times New Roman" w:hAnsi="Times New Roman" w:eastAsia="Times New Roman" w:cs="Times New Roman"/>
              <w:spacing w:val="-3"/>
              <w:position w:val="2"/>
              <w:sz w:val="31"/>
              <w:szCs w:val="31"/>
            </w:rPr>
            <w:t>-</w:t>
          </w:r>
          <w:r>
            <w:rPr>
              <w:rFonts w:ascii="Times New Roman" w:hAnsi="Times New Roman" w:eastAsia="Times New Roman" w:cs="Times New Roman"/>
              <w:spacing w:val="-3"/>
              <w:position w:val="2"/>
              <w:sz w:val="31"/>
              <w:szCs w:val="31"/>
            </w:rPr>
            <w:fldChar w:fldCharType="end"/>
          </w:r>
        </w:p>
      </w:sdtContent>
    </w:sdt>
    <w:p w14:paraId="7E915D96">
      <w:pPr>
        <w:spacing w:line="415" w:lineRule="exact"/>
        <w:rPr>
          <w:rFonts w:ascii="Times New Roman" w:hAnsi="Times New Roman" w:eastAsia="Times New Roman" w:cs="Times New Roman"/>
          <w:sz w:val="31"/>
          <w:szCs w:val="31"/>
        </w:rPr>
        <w:sectPr>
          <w:footerReference r:id="rId6" w:type="default"/>
          <w:pgSz w:w="11904" w:h="16835"/>
          <w:pgMar w:top="1430" w:right="1785" w:bottom="1289" w:left="1785" w:header="0" w:footer="920" w:gutter="0"/>
          <w:cols w:space="720" w:num="1"/>
        </w:sectPr>
      </w:pPr>
    </w:p>
    <w:p w14:paraId="35E63618">
      <w:pPr>
        <w:spacing w:before="160" w:line="304" w:lineRule="exact"/>
        <w:ind w:left="3702"/>
        <w:outlineLvl w:val="0"/>
        <w:rPr>
          <w:rFonts w:ascii="微软雅黑" w:hAnsi="微软雅黑" w:eastAsia="微软雅黑" w:cs="微软雅黑"/>
          <w:sz w:val="30"/>
          <w:szCs w:val="30"/>
        </w:rPr>
      </w:pPr>
      <w:bookmarkStart w:id="0" w:name="bookmark1"/>
      <w:bookmarkEnd w:id="0"/>
      <w:r>
        <w:rPr>
          <w:rFonts w:ascii="微软雅黑" w:hAnsi="微软雅黑" w:eastAsia="微软雅黑" w:cs="微软雅黑"/>
          <w:spacing w:val="8"/>
          <w:position w:val="-1"/>
          <w:sz w:val="30"/>
          <w:szCs w:val="30"/>
        </w:rPr>
        <w:t>导</w:t>
      </w:r>
      <w:r>
        <w:rPr>
          <w:rFonts w:ascii="微软雅黑" w:hAnsi="微软雅黑" w:eastAsia="微软雅黑" w:cs="微软雅黑"/>
          <w:spacing w:val="20"/>
          <w:position w:val="-1"/>
          <w:sz w:val="30"/>
          <w:szCs w:val="30"/>
        </w:rPr>
        <w:t xml:space="preserve">   </w:t>
      </w:r>
      <w:r>
        <w:rPr>
          <w:rFonts w:ascii="微软雅黑" w:hAnsi="微软雅黑" w:eastAsia="微软雅黑" w:cs="微软雅黑"/>
          <w:spacing w:val="8"/>
          <w:position w:val="-1"/>
          <w:sz w:val="30"/>
          <w:szCs w:val="30"/>
        </w:rPr>
        <w:t>语</w:t>
      </w:r>
    </w:p>
    <w:p w14:paraId="75B5EA3C">
      <w:pPr>
        <w:pStyle w:val="2"/>
        <w:spacing w:line="356" w:lineRule="auto"/>
      </w:pPr>
    </w:p>
    <w:p w14:paraId="07B343B9">
      <w:pPr>
        <w:pStyle w:val="2"/>
        <w:spacing w:line="357" w:lineRule="auto"/>
      </w:pPr>
    </w:p>
    <w:p w14:paraId="63098FC0">
      <w:pPr>
        <w:spacing w:before="100" w:line="322" w:lineRule="auto"/>
        <w:ind w:left="26" w:right="14" w:firstLine="662"/>
        <w:rPr>
          <w:rFonts w:ascii="仿宋" w:hAnsi="仿宋" w:eastAsia="仿宋" w:cs="仿宋"/>
          <w:sz w:val="31"/>
          <w:szCs w:val="31"/>
        </w:rPr>
      </w:pPr>
      <w:r>
        <w:rPr>
          <w:rFonts w:ascii="仿宋" w:hAnsi="仿宋" w:eastAsia="仿宋" w:cs="仿宋"/>
          <w:spacing w:val="7"/>
          <w:sz w:val="31"/>
          <w:szCs w:val="31"/>
        </w:rPr>
        <w:t>“十四五”时期是阿坝州筑牢长江黄河上游生态安全屏</w:t>
      </w:r>
      <w:r>
        <w:rPr>
          <w:rFonts w:ascii="仿宋" w:hAnsi="仿宋" w:eastAsia="仿宋" w:cs="仿宋"/>
          <w:spacing w:val="5"/>
          <w:sz w:val="31"/>
          <w:szCs w:val="31"/>
        </w:rPr>
        <w:t>障，融入</w:t>
      </w:r>
      <w:r>
        <w:rPr>
          <w:rFonts w:ascii="仿宋" w:hAnsi="仿宋" w:eastAsia="仿宋" w:cs="仿宋"/>
          <w:spacing w:val="-94"/>
          <w:sz w:val="31"/>
          <w:szCs w:val="31"/>
        </w:rPr>
        <w:t xml:space="preserve"> </w:t>
      </w:r>
      <w:r>
        <w:rPr>
          <w:rFonts w:ascii="仿宋" w:hAnsi="仿宋" w:eastAsia="仿宋" w:cs="仿宋"/>
          <w:spacing w:val="5"/>
          <w:sz w:val="31"/>
          <w:szCs w:val="31"/>
        </w:rPr>
        <w:t>“</w:t>
      </w:r>
      <w:r>
        <w:rPr>
          <w:rFonts w:ascii="仿宋" w:hAnsi="仿宋" w:eastAsia="仿宋" w:cs="仿宋"/>
          <w:spacing w:val="-118"/>
          <w:sz w:val="31"/>
          <w:szCs w:val="31"/>
        </w:rPr>
        <w:t xml:space="preserve"> </w:t>
      </w:r>
      <w:r>
        <w:rPr>
          <w:rFonts w:ascii="仿宋" w:hAnsi="仿宋" w:eastAsia="仿宋" w:cs="仿宋"/>
          <w:spacing w:val="5"/>
          <w:sz w:val="31"/>
          <w:szCs w:val="31"/>
        </w:rPr>
        <w:t>一带一路”和成渝双城经济圈建设，加快川西北</w:t>
      </w:r>
      <w:r>
        <w:rPr>
          <w:rFonts w:ascii="仿宋" w:hAnsi="仿宋" w:eastAsia="仿宋" w:cs="仿宋"/>
          <w:spacing w:val="9"/>
          <w:sz w:val="31"/>
          <w:szCs w:val="31"/>
        </w:rPr>
        <w:t>生态示范区发展生态经济的关键五年。为提高</w:t>
      </w:r>
      <w:r>
        <w:rPr>
          <w:rFonts w:ascii="仿宋" w:hAnsi="仿宋" w:eastAsia="仿宋" w:cs="仿宋"/>
          <w:spacing w:val="8"/>
          <w:sz w:val="31"/>
          <w:szCs w:val="31"/>
        </w:rPr>
        <w:t>矿产资源对阿</w:t>
      </w:r>
      <w:r>
        <w:rPr>
          <w:rFonts w:ascii="仿宋" w:hAnsi="仿宋" w:eastAsia="仿宋" w:cs="仿宋"/>
          <w:spacing w:val="9"/>
          <w:sz w:val="31"/>
          <w:szCs w:val="31"/>
        </w:rPr>
        <w:t>坝州国民经济与社会发展保障能力，推动矿业</w:t>
      </w:r>
      <w:r>
        <w:rPr>
          <w:rFonts w:ascii="仿宋" w:hAnsi="仿宋" w:eastAsia="仿宋" w:cs="仿宋"/>
          <w:spacing w:val="8"/>
          <w:sz w:val="31"/>
          <w:szCs w:val="31"/>
        </w:rPr>
        <w:t>绿色高质量发</w:t>
      </w:r>
      <w:r>
        <w:rPr>
          <w:rFonts w:ascii="仿宋" w:hAnsi="仿宋" w:eastAsia="仿宋" w:cs="仿宋"/>
          <w:spacing w:val="9"/>
          <w:sz w:val="31"/>
          <w:szCs w:val="31"/>
        </w:rPr>
        <w:t>展，全面深化矿产资源管理改革，根据《中华</w:t>
      </w:r>
      <w:r>
        <w:rPr>
          <w:rFonts w:ascii="仿宋" w:hAnsi="仿宋" w:eastAsia="仿宋" w:cs="仿宋"/>
          <w:spacing w:val="8"/>
          <w:sz w:val="31"/>
          <w:szCs w:val="31"/>
        </w:rPr>
        <w:t>人民共和国矿</w:t>
      </w:r>
      <w:r>
        <w:rPr>
          <w:rFonts w:ascii="仿宋" w:hAnsi="仿宋" w:eastAsia="仿宋" w:cs="仿宋"/>
          <w:spacing w:val="9"/>
          <w:sz w:val="31"/>
          <w:szCs w:val="31"/>
        </w:rPr>
        <w:t>产资源法》及其实施细则，《矿产资源规划编制实</w:t>
      </w:r>
      <w:r>
        <w:rPr>
          <w:rFonts w:ascii="仿宋" w:hAnsi="仿宋" w:eastAsia="仿宋" w:cs="仿宋"/>
          <w:spacing w:val="8"/>
          <w:sz w:val="31"/>
          <w:szCs w:val="31"/>
        </w:rPr>
        <w:t>施办法》</w:t>
      </w:r>
      <w:r>
        <w:rPr>
          <w:rFonts w:ascii="仿宋" w:hAnsi="仿宋" w:eastAsia="仿宋" w:cs="仿宋"/>
          <w:spacing w:val="5"/>
          <w:sz w:val="31"/>
          <w:szCs w:val="31"/>
        </w:rPr>
        <w:t>等部门规章要求，《四川省矿产资源总体规划（</w:t>
      </w:r>
      <w:r>
        <w:rPr>
          <w:rFonts w:ascii="仿宋" w:hAnsi="仿宋" w:eastAsia="仿宋" w:cs="仿宋"/>
          <w:spacing w:val="-66"/>
          <w:sz w:val="31"/>
          <w:szCs w:val="31"/>
        </w:rPr>
        <w:t xml:space="preserve"> </w:t>
      </w:r>
      <w:r>
        <w:rPr>
          <w:rFonts w:ascii="仿宋" w:hAnsi="仿宋" w:eastAsia="仿宋" w:cs="仿宋"/>
          <w:spacing w:val="5"/>
          <w:sz w:val="31"/>
          <w:szCs w:val="31"/>
        </w:rPr>
        <w:t>2021-2025年）》（</w:t>
      </w:r>
      <w:r>
        <w:rPr>
          <w:rFonts w:ascii="仿宋" w:hAnsi="仿宋" w:eastAsia="仿宋" w:cs="仿宋"/>
          <w:spacing w:val="-57"/>
          <w:sz w:val="31"/>
          <w:szCs w:val="31"/>
        </w:rPr>
        <w:t xml:space="preserve"> </w:t>
      </w:r>
      <w:r>
        <w:rPr>
          <w:rFonts w:ascii="仿宋" w:hAnsi="仿宋" w:eastAsia="仿宋" w:cs="仿宋"/>
          <w:spacing w:val="5"/>
          <w:sz w:val="31"/>
          <w:szCs w:val="31"/>
        </w:rPr>
        <w:t>以下简称省级规划）、《阿坝藏族羌族自治州国民经济和社会发展第十四个五年规划和二</w:t>
      </w:r>
      <w:r>
        <w:rPr>
          <w:rFonts w:ascii="微软雅黑" w:hAnsi="微软雅黑" w:eastAsia="微软雅黑" w:cs="微软雅黑"/>
          <w:spacing w:val="5"/>
          <w:sz w:val="31"/>
          <w:szCs w:val="31"/>
        </w:rPr>
        <w:t xml:space="preserve">〇 </w:t>
      </w:r>
      <w:r>
        <w:rPr>
          <w:rFonts w:ascii="仿宋" w:hAnsi="仿宋" w:eastAsia="仿宋" w:cs="仿宋"/>
          <w:spacing w:val="5"/>
          <w:sz w:val="31"/>
          <w:szCs w:val="31"/>
        </w:rPr>
        <w:t>三五年远景目标</w:t>
      </w:r>
    </w:p>
    <w:p w14:paraId="39644D7A">
      <w:pPr>
        <w:spacing w:before="1" w:line="331" w:lineRule="auto"/>
        <w:ind w:left="36" w:right="83" w:hanging="3"/>
        <w:rPr>
          <w:rFonts w:ascii="仿宋" w:hAnsi="仿宋" w:eastAsia="仿宋" w:cs="仿宋"/>
          <w:sz w:val="31"/>
          <w:szCs w:val="31"/>
        </w:rPr>
      </w:pPr>
      <w:r>
        <w:rPr>
          <w:rFonts w:ascii="仿宋" w:hAnsi="仿宋" w:eastAsia="仿宋" w:cs="仿宋"/>
          <w:spacing w:val="7"/>
          <w:sz w:val="31"/>
          <w:szCs w:val="31"/>
        </w:rPr>
        <w:t>纲要》、《四川省地质勘查规划（2021-2030</w:t>
      </w:r>
      <w:r>
        <w:rPr>
          <w:rFonts w:ascii="仿宋" w:hAnsi="仿宋" w:eastAsia="仿宋" w:cs="仿宋"/>
          <w:spacing w:val="-57"/>
          <w:sz w:val="31"/>
          <w:szCs w:val="31"/>
        </w:rPr>
        <w:t xml:space="preserve"> </w:t>
      </w:r>
      <w:r>
        <w:rPr>
          <w:rFonts w:ascii="仿宋" w:hAnsi="仿宋" w:eastAsia="仿宋" w:cs="仿宋"/>
          <w:spacing w:val="7"/>
          <w:sz w:val="31"/>
          <w:szCs w:val="31"/>
        </w:rPr>
        <w:t>年）》、阿坝</w:t>
      </w:r>
      <w:r>
        <w:rPr>
          <w:rFonts w:ascii="仿宋" w:hAnsi="仿宋" w:eastAsia="仿宋" w:cs="仿宋"/>
          <w:spacing w:val="9"/>
          <w:sz w:val="31"/>
          <w:szCs w:val="31"/>
        </w:rPr>
        <w:t>藏族羌族自治州国土空间规划阶段性成果以及</w:t>
      </w:r>
      <w:r>
        <w:rPr>
          <w:rFonts w:ascii="仿宋" w:hAnsi="仿宋" w:eastAsia="仿宋" w:cs="仿宋"/>
          <w:spacing w:val="8"/>
          <w:sz w:val="31"/>
          <w:szCs w:val="31"/>
        </w:rPr>
        <w:t>四川省矿产</w:t>
      </w:r>
    </w:p>
    <w:p w14:paraId="644107F3">
      <w:pPr>
        <w:spacing w:before="6" w:line="333" w:lineRule="auto"/>
        <w:ind w:left="36" w:right="16" w:firstLine="3"/>
        <w:rPr>
          <w:rFonts w:ascii="仿宋" w:hAnsi="仿宋" w:eastAsia="仿宋" w:cs="仿宋"/>
          <w:sz w:val="31"/>
          <w:szCs w:val="31"/>
        </w:rPr>
      </w:pPr>
      <w:r>
        <w:rPr>
          <w:rFonts w:ascii="仿宋" w:hAnsi="仿宋" w:eastAsia="仿宋" w:cs="仿宋"/>
          <w:spacing w:val="-4"/>
          <w:sz w:val="31"/>
          <w:szCs w:val="31"/>
        </w:rPr>
        <w:t>资源管理及相关产业政策等部署，结合阿坝州实际，制定《阿</w:t>
      </w:r>
      <w:r>
        <w:rPr>
          <w:rFonts w:ascii="仿宋" w:hAnsi="仿宋" w:eastAsia="仿宋" w:cs="仿宋"/>
          <w:spacing w:val="1"/>
          <w:sz w:val="31"/>
          <w:szCs w:val="31"/>
        </w:rPr>
        <w:t>坝州矿产资源总体规划（</w:t>
      </w:r>
      <w:r>
        <w:rPr>
          <w:rFonts w:ascii="仿宋" w:hAnsi="仿宋" w:eastAsia="仿宋" w:cs="仿宋"/>
          <w:spacing w:val="-80"/>
          <w:sz w:val="31"/>
          <w:szCs w:val="31"/>
        </w:rPr>
        <w:t xml:space="preserve"> </w:t>
      </w:r>
      <w:r>
        <w:rPr>
          <w:rFonts w:ascii="仿宋" w:hAnsi="仿宋" w:eastAsia="仿宋" w:cs="仿宋"/>
          <w:spacing w:val="1"/>
          <w:sz w:val="31"/>
          <w:szCs w:val="31"/>
        </w:rPr>
        <w:t>2021-2025</w:t>
      </w:r>
      <w:r>
        <w:rPr>
          <w:rFonts w:ascii="仿宋" w:hAnsi="仿宋" w:eastAsia="仿宋" w:cs="仿宋"/>
          <w:spacing w:val="-57"/>
          <w:sz w:val="31"/>
          <w:szCs w:val="31"/>
        </w:rPr>
        <w:t xml:space="preserve"> </w:t>
      </w:r>
      <w:r>
        <w:rPr>
          <w:rFonts w:ascii="仿宋" w:hAnsi="仿宋" w:eastAsia="仿宋" w:cs="仿宋"/>
          <w:spacing w:val="1"/>
          <w:sz w:val="31"/>
          <w:szCs w:val="31"/>
        </w:rPr>
        <w:t>年）》（</w:t>
      </w:r>
      <w:r>
        <w:rPr>
          <w:rFonts w:ascii="仿宋" w:hAnsi="仿宋" w:eastAsia="仿宋" w:cs="仿宋"/>
          <w:spacing w:val="-52"/>
          <w:sz w:val="31"/>
          <w:szCs w:val="31"/>
        </w:rPr>
        <w:t xml:space="preserve"> </w:t>
      </w:r>
      <w:r>
        <w:rPr>
          <w:rFonts w:ascii="仿宋" w:hAnsi="仿宋" w:eastAsia="仿宋" w:cs="仿宋"/>
          <w:spacing w:val="1"/>
          <w:sz w:val="31"/>
          <w:szCs w:val="31"/>
        </w:rPr>
        <w:t>以下简称《规</w:t>
      </w:r>
      <w:r>
        <w:rPr>
          <w:rFonts w:ascii="仿宋" w:hAnsi="仿宋" w:eastAsia="仿宋" w:cs="仿宋"/>
          <w:spacing w:val="5"/>
          <w:sz w:val="31"/>
          <w:szCs w:val="31"/>
        </w:rPr>
        <w:t>划》）。</w:t>
      </w:r>
    </w:p>
    <w:p w14:paraId="657C8B50">
      <w:pPr>
        <w:spacing w:before="2" w:line="333" w:lineRule="auto"/>
        <w:ind w:left="26" w:right="10" w:firstLine="662"/>
        <w:rPr>
          <w:rFonts w:ascii="仿宋" w:hAnsi="仿宋" w:eastAsia="仿宋" w:cs="仿宋"/>
          <w:sz w:val="31"/>
          <w:szCs w:val="31"/>
        </w:rPr>
      </w:pPr>
      <w:r>
        <w:rPr>
          <w:rFonts w:ascii="仿宋" w:hAnsi="仿宋" w:eastAsia="仿宋" w:cs="仿宋"/>
          <w:spacing w:val="-5"/>
          <w:sz w:val="31"/>
          <w:szCs w:val="31"/>
        </w:rPr>
        <w:t>“十四五”期间，《规划》是调控阿坝州矿产资源勘查、</w:t>
      </w:r>
      <w:r>
        <w:rPr>
          <w:rFonts w:ascii="仿宋" w:hAnsi="仿宋" w:eastAsia="仿宋" w:cs="仿宋"/>
          <w:spacing w:val="9"/>
          <w:sz w:val="31"/>
          <w:szCs w:val="31"/>
        </w:rPr>
        <w:t>开发利用与保护的指导性文件，是落实国家资源安全战略、加强和改善矿产资源宏观管理的重要手段，是</w:t>
      </w:r>
      <w:r>
        <w:rPr>
          <w:rFonts w:ascii="仿宋" w:hAnsi="仿宋" w:eastAsia="仿宋" w:cs="仿宋"/>
          <w:spacing w:val="8"/>
          <w:sz w:val="31"/>
          <w:szCs w:val="31"/>
        </w:rPr>
        <w:t>依法审批和监</w:t>
      </w:r>
      <w:r>
        <w:rPr>
          <w:rFonts w:ascii="仿宋" w:hAnsi="仿宋" w:eastAsia="仿宋" w:cs="仿宋"/>
          <w:spacing w:val="9"/>
          <w:sz w:val="31"/>
          <w:szCs w:val="31"/>
        </w:rPr>
        <w:t>管矿产资源勘查、开发和保护的重要依据，阿</w:t>
      </w:r>
      <w:r>
        <w:rPr>
          <w:rFonts w:ascii="仿宋" w:hAnsi="仿宋" w:eastAsia="仿宋" w:cs="仿宋"/>
          <w:spacing w:val="8"/>
          <w:sz w:val="31"/>
          <w:szCs w:val="31"/>
        </w:rPr>
        <w:t>坝州矿产资源开发行业相关规划应与本《规划》做好衔接。</w:t>
      </w:r>
    </w:p>
    <w:p w14:paraId="34B3282D">
      <w:pPr>
        <w:spacing w:before="2" w:line="335" w:lineRule="auto"/>
        <w:ind w:left="38" w:right="16" w:firstLine="616"/>
        <w:rPr>
          <w:rFonts w:ascii="仿宋" w:hAnsi="仿宋" w:eastAsia="仿宋" w:cs="仿宋"/>
          <w:sz w:val="31"/>
          <w:szCs w:val="31"/>
        </w:rPr>
      </w:pPr>
      <w:r>
        <w:rPr>
          <w:rFonts w:ascii="仿宋" w:hAnsi="仿宋" w:eastAsia="仿宋" w:cs="仿宋"/>
          <w:spacing w:val="6"/>
          <w:sz w:val="31"/>
          <w:szCs w:val="31"/>
        </w:rPr>
        <w:t>《规划》适用范围为阿坝州行政辖区内的矿产资</w:t>
      </w:r>
      <w:r>
        <w:rPr>
          <w:rFonts w:ascii="仿宋" w:hAnsi="仿宋" w:eastAsia="仿宋" w:cs="仿宋"/>
          <w:spacing w:val="5"/>
          <w:sz w:val="31"/>
          <w:szCs w:val="31"/>
        </w:rPr>
        <w:t>源。</w:t>
      </w:r>
      <w:r>
        <w:rPr>
          <w:rFonts w:ascii="仿宋" w:hAnsi="仿宋" w:eastAsia="仿宋" w:cs="仿宋"/>
          <w:spacing w:val="-77"/>
          <w:sz w:val="31"/>
          <w:szCs w:val="31"/>
        </w:rPr>
        <w:t xml:space="preserve"> </w:t>
      </w:r>
      <w:r>
        <w:rPr>
          <w:rFonts w:ascii="仿宋" w:hAnsi="仿宋" w:eastAsia="仿宋" w:cs="仿宋"/>
          <w:spacing w:val="5"/>
          <w:sz w:val="31"/>
          <w:szCs w:val="31"/>
        </w:rPr>
        <w:t>以</w:t>
      </w:r>
      <w:r>
        <w:rPr>
          <w:rFonts w:ascii="仿宋" w:hAnsi="仿宋" w:eastAsia="仿宋" w:cs="仿宋"/>
          <w:spacing w:val="3"/>
          <w:sz w:val="31"/>
          <w:szCs w:val="31"/>
        </w:rPr>
        <w:t>2020</w:t>
      </w:r>
      <w:r>
        <w:rPr>
          <w:rFonts w:ascii="仿宋" w:hAnsi="仿宋" w:eastAsia="仿宋" w:cs="仿宋"/>
          <w:spacing w:val="-42"/>
          <w:sz w:val="31"/>
          <w:szCs w:val="31"/>
        </w:rPr>
        <w:t xml:space="preserve"> </w:t>
      </w:r>
      <w:r>
        <w:rPr>
          <w:rFonts w:ascii="仿宋" w:hAnsi="仿宋" w:eastAsia="仿宋" w:cs="仿宋"/>
          <w:spacing w:val="3"/>
          <w:sz w:val="31"/>
          <w:szCs w:val="31"/>
        </w:rPr>
        <w:t>年为基期，2025</w:t>
      </w:r>
      <w:r>
        <w:rPr>
          <w:rFonts w:ascii="仿宋" w:hAnsi="仿宋" w:eastAsia="仿宋" w:cs="仿宋"/>
          <w:spacing w:val="-57"/>
          <w:sz w:val="31"/>
          <w:szCs w:val="31"/>
        </w:rPr>
        <w:t xml:space="preserve"> </w:t>
      </w:r>
      <w:r>
        <w:rPr>
          <w:rFonts w:ascii="仿宋" w:hAnsi="仿宋" w:eastAsia="仿宋" w:cs="仿宋"/>
          <w:spacing w:val="3"/>
          <w:sz w:val="31"/>
          <w:szCs w:val="31"/>
        </w:rPr>
        <w:t>年为目标年，展望到</w:t>
      </w:r>
      <w:r>
        <w:rPr>
          <w:rFonts w:ascii="仿宋" w:hAnsi="仿宋" w:eastAsia="仿宋" w:cs="仿宋"/>
          <w:spacing w:val="-49"/>
          <w:sz w:val="31"/>
          <w:szCs w:val="31"/>
        </w:rPr>
        <w:t xml:space="preserve"> </w:t>
      </w:r>
      <w:r>
        <w:rPr>
          <w:rFonts w:ascii="仿宋" w:hAnsi="仿宋" w:eastAsia="仿宋" w:cs="仿宋"/>
          <w:spacing w:val="3"/>
          <w:sz w:val="31"/>
          <w:szCs w:val="31"/>
        </w:rPr>
        <w:t>2035</w:t>
      </w:r>
      <w:r>
        <w:rPr>
          <w:rFonts w:ascii="仿宋" w:hAnsi="仿宋" w:eastAsia="仿宋" w:cs="仿宋"/>
          <w:spacing w:val="-57"/>
          <w:sz w:val="31"/>
          <w:szCs w:val="31"/>
        </w:rPr>
        <w:t xml:space="preserve"> </w:t>
      </w:r>
      <w:r>
        <w:rPr>
          <w:rFonts w:ascii="仿宋" w:hAnsi="仿宋" w:eastAsia="仿宋" w:cs="仿宋"/>
          <w:spacing w:val="3"/>
          <w:sz w:val="31"/>
          <w:szCs w:val="31"/>
        </w:rPr>
        <w:t>年。</w:t>
      </w:r>
    </w:p>
    <w:p w14:paraId="49CFA02C">
      <w:pPr>
        <w:spacing w:line="335" w:lineRule="auto"/>
        <w:rPr>
          <w:rFonts w:ascii="仿宋" w:hAnsi="仿宋" w:eastAsia="仿宋" w:cs="仿宋"/>
          <w:sz w:val="31"/>
          <w:szCs w:val="31"/>
        </w:rPr>
        <w:sectPr>
          <w:footerReference r:id="rId7" w:type="default"/>
          <w:pgSz w:w="11904" w:h="16835"/>
          <w:pgMar w:top="1430" w:right="1785" w:bottom="1289" w:left="1785" w:header="0" w:footer="920" w:gutter="0"/>
          <w:cols w:space="720" w:num="1"/>
        </w:sectPr>
      </w:pPr>
    </w:p>
    <w:p w14:paraId="2D6B33EB">
      <w:pPr>
        <w:spacing w:before="134" w:line="226" w:lineRule="auto"/>
        <w:ind w:left="3059"/>
        <w:outlineLvl w:val="0"/>
        <w:rPr>
          <w:rFonts w:ascii="黑体" w:hAnsi="黑体" w:eastAsia="黑体" w:cs="黑体"/>
          <w:sz w:val="31"/>
          <w:szCs w:val="31"/>
        </w:rPr>
      </w:pPr>
      <w:bookmarkStart w:id="1" w:name="bookmark2"/>
      <w:bookmarkEnd w:id="1"/>
      <w:bookmarkStart w:id="2" w:name="bookmark3"/>
      <w:bookmarkEnd w:id="2"/>
      <w:r>
        <w:rPr>
          <w:rFonts w:ascii="黑体" w:hAnsi="黑体" w:eastAsia="黑体" w:cs="黑体"/>
          <w:spacing w:val="7"/>
          <w:sz w:val="31"/>
          <w:szCs w:val="31"/>
        </w:rPr>
        <w:t>第一章  现状与形势</w:t>
      </w:r>
    </w:p>
    <w:p w14:paraId="37EB2B7E">
      <w:pPr>
        <w:pStyle w:val="2"/>
        <w:spacing w:line="385" w:lineRule="auto"/>
      </w:pPr>
    </w:p>
    <w:p w14:paraId="4D67CD93">
      <w:pPr>
        <w:spacing w:before="133" w:line="320" w:lineRule="exact"/>
        <w:ind w:left="2211"/>
        <w:outlineLvl w:val="0"/>
        <w:rPr>
          <w:rFonts w:ascii="微软雅黑" w:hAnsi="微软雅黑" w:eastAsia="微软雅黑" w:cs="微软雅黑"/>
          <w:sz w:val="31"/>
          <w:szCs w:val="31"/>
        </w:rPr>
      </w:pPr>
      <w:bookmarkStart w:id="3" w:name="bookmark29"/>
      <w:bookmarkEnd w:id="3"/>
      <w:r>
        <w:rPr>
          <w:rFonts w:ascii="微软雅黑" w:hAnsi="微软雅黑" w:eastAsia="微软雅黑" w:cs="微软雅黑"/>
          <w:spacing w:val="-1"/>
          <w:position w:val="-1"/>
          <w:sz w:val="31"/>
          <w:szCs w:val="31"/>
        </w:rPr>
        <w:t>第</w:t>
      </w:r>
      <w:r>
        <w:rPr>
          <w:rFonts w:ascii="微软雅黑" w:hAnsi="微软雅黑" w:eastAsia="微软雅黑" w:cs="微软雅黑"/>
          <w:spacing w:val="-31"/>
          <w:position w:val="-1"/>
          <w:sz w:val="31"/>
          <w:szCs w:val="31"/>
        </w:rPr>
        <w:t xml:space="preserve"> </w:t>
      </w:r>
      <w:r>
        <w:rPr>
          <w:rFonts w:ascii="微软雅黑" w:hAnsi="微软雅黑" w:eastAsia="微软雅黑" w:cs="微软雅黑"/>
          <w:spacing w:val="-1"/>
          <w:position w:val="-1"/>
          <w:sz w:val="31"/>
          <w:szCs w:val="31"/>
        </w:rPr>
        <w:t>一节  经济社会与矿业发展现状</w:t>
      </w:r>
    </w:p>
    <w:p w14:paraId="0C370CF8">
      <w:pPr>
        <w:pStyle w:val="2"/>
        <w:spacing w:line="258" w:lineRule="auto"/>
      </w:pPr>
    </w:p>
    <w:p w14:paraId="75D1A579">
      <w:pPr>
        <w:pStyle w:val="2"/>
        <w:spacing w:line="258" w:lineRule="auto"/>
      </w:pPr>
    </w:p>
    <w:p w14:paraId="5EFF25AA">
      <w:pPr>
        <w:spacing w:before="101" w:line="333" w:lineRule="auto"/>
        <w:ind w:left="31" w:right="16" w:firstLine="656"/>
        <w:jc w:val="both"/>
        <w:rPr>
          <w:rFonts w:ascii="仿宋" w:hAnsi="仿宋" w:eastAsia="仿宋" w:cs="仿宋"/>
          <w:sz w:val="31"/>
          <w:szCs w:val="31"/>
        </w:rPr>
      </w:pPr>
      <w:r>
        <w:rPr>
          <w:rFonts w:ascii="仿宋" w:hAnsi="仿宋" w:eastAsia="仿宋" w:cs="仿宋"/>
          <w:spacing w:val="4"/>
          <w:sz w:val="31"/>
          <w:szCs w:val="31"/>
        </w:rPr>
        <w:t>阿坝州位于青藏高原东南缘，在国家</w:t>
      </w:r>
      <w:r>
        <w:rPr>
          <w:rFonts w:ascii="仿宋" w:hAnsi="仿宋" w:eastAsia="仿宋" w:cs="仿宋"/>
          <w:spacing w:val="-99"/>
          <w:sz w:val="31"/>
          <w:szCs w:val="31"/>
        </w:rPr>
        <w:t xml:space="preserve"> </w:t>
      </w:r>
      <w:r>
        <w:rPr>
          <w:rFonts w:ascii="仿宋" w:hAnsi="仿宋" w:eastAsia="仿宋" w:cs="仿宋"/>
          <w:spacing w:val="4"/>
          <w:sz w:val="31"/>
          <w:szCs w:val="31"/>
        </w:rPr>
        <w:t>“</w:t>
      </w:r>
      <w:r>
        <w:rPr>
          <w:rFonts w:ascii="仿宋" w:hAnsi="仿宋" w:eastAsia="仿宋" w:cs="仿宋"/>
          <w:spacing w:val="-120"/>
          <w:sz w:val="31"/>
          <w:szCs w:val="31"/>
        </w:rPr>
        <w:t xml:space="preserve"> </w:t>
      </w:r>
      <w:r>
        <w:rPr>
          <w:rFonts w:ascii="仿宋" w:hAnsi="仿宋" w:eastAsia="仿宋" w:cs="仿宋"/>
          <w:spacing w:val="4"/>
          <w:sz w:val="31"/>
          <w:szCs w:val="31"/>
        </w:rPr>
        <w:t>两屏三带”生态</w:t>
      </w:r>
      <w:r>
        <w:rPr>
          <w:rFonts w:ascii="仿宋" w:hAnsi="仿宋" w:eastAsia="仿宋" w:cs="仿宋"/>
          <w:spacing w:val="5"/>
          <w:sz w:val="31"/>
          <w:szCs w:val="31"/>
        </w:rPr>
        <w:t>安全格局中，是</w:t>
      </w:r>
      <w:r>
        <w:rPr>
          <w:rFonts w:ascii="仿宋" w:hAnsi="仿宋" w:eastAsia="仿宋" w:cs="仿宋"/>
          <w:spacing w:val="-107"/>
          <w:sz w:val="31"/>
          <w:szCs w:val="31"/>
        </w:rPr>
        <w:t xml:space="preserve"> </w:t>
      </w:r>
      <w:r>
        <w:rPr>
          <w:rFonts w:ascii="仿宋" w:hAnsi="仿宋" w:eastAsia="仿宋" w:cs="仿宋"/>
          <w:spacing w:val="5"/>
          <w:sz w:val="31"/>
          <w:szCs w:val="31"/>
        </w:rPr>
        <w:t>“青藏高原生态屏障”和</w:t>
      </w:r>
      <w:r>
        <w:rPr>
          <w:rFonts w:ascii="仿宋" w:hAnsi="仿宋" w:eastAsia="仿宋" w:cs="仿宋"/>
          <w:spacing w:val="-106"/>
          <w:sz w:val="31"/>
          <w:szCs w:val="31"/>
        </w:rPr>
        <w:t xml:space="preserve"> </w:t>
      </w:r>
      <w:r>
        <w:rPr>
          <w:rFonts w:ascii="仿宋" w:hAnsi="仿宋" w:eastAsia="仿宋" w:cs="仿宋"/>
          <w:spacing w:val="5"/>
          <w:sz w:val="31"/>
          <w:szCs w:val="31"/>
        </w:rPr>
        <w:t>“黄土高</w:t>
      </w:r>
      <w:r>
        <w:rPr>
          <w:rFonts w:ascii="仿宋" w:hAnsi="仿宋" w:eastAsia="仿宋" w:cs="仿宋"/>
          <w:spacing w:val="4"/>
          <w:sz w:val="31"/>
          <w:szCs w:val="31"/>
        </w:rPr>
        <w:t>原－川滇</w:t>
      </w:r>
      <w:r>
        <w:rPr>
          <w:rFonts w:ascii="仿宋" w:hAnsi="仿宋" w:eastAsia="仿宋" w:cs="仿宋"/>
          <w:spacing w:val="7"/>
          <w:sz w:val="31"/>
          <w:szCs w:val="31"/>
        </w:rPr>
        <w:t>生态屏障”</w:t>
      </w:r>
      <w:r>
        <w:rPr>
          <w:rFonts w:ascii="仿宋" w:hAnsi="仿宋" w:eastAsia="仿宋" w:cs="仿宋"/>
          <w:spacing w:val="-114"/>
          <w:sz w:val="31"/>
          <w:szCs w:val="31"/>
        </w:rPr>
        <w:t xml:space="preserve"> </w:t>
      </w:r>
      <w:r>
        <w:rPr>
          <w:rFonts w:ascii="仿宋" w:hAnsi="仿宋" w:eastAsia="仿宋" w:cs="仿宋"/>
          <w:spacing w:val="7"/>
          <w:sz w:val="31"/>
          <w:szCs w:val="31"/>
        </w:rPr>
        <w:t>的重要组成部分；是长江、黄河上游重要水源发</w:t>
      </w:r>
      <w:r>
        <w:rPr>
          <w:rFonts w:ascii="仿宋" w:hAnsi="仿宋" w:eastAsia="仿宋" w:cs="仿宋"/>
          <w:spacing w:val="8"/>
          <w:sz w:val="31"/>
          <w:szCs w:val="31"/>
        </w:rPr>
        <w:t>源地及涵养区，也是长江经济带发展的保障。阿坝州北和西</w:t>
      </w:r>
      <w:r>
        <w:rPr>
          <w:rFonts w:ascii="仿宋" w:hAnsi="仿宋" w:eastAsia="仿宋" w:cs="仿宋"/>
          <w:spacing w:val="-3"/>
          <w:sz w:val="31"/>
          <w:szCs w:val="31"/>
        </w:rPr>
        <w:t>北与甘肃、青海交界，东和东南与绵阳、德阳、</w:t>
      </w:r>
      <w:r>
        <w:rPr>
          <w:rFonts w:ascii="仿宋" w:hAnsi="仿宋" w:eastAsia="仿宋" w:cs="仿宋"/>
          <w:spacing w:val="-4"/>
          <w:sz w:val="31"/>
          <w:szCs w:val="31"/>
        </w:rPr>
        <w:t>成都市相邻，</w:t>
      </w:r>
      <w:r>
        <w:rPr>
          <w:rFonts w:ascii="仿宋" w:hAnsi="仿宋" w:eastAsia="仿宋" w:cs="仿宋"/>
          <w:spacing w:val="12"/>
          <w:sz w:val="31"/>
          <w:szCs w:val="31"/>
        </w:rPr>
        <w:t>南和西南与雅安市接壤，西与甘孜州相连。</w:t>
      </w:r>
      <w:r>
        <w:rPr>
          <w:rFonts w:ascii="仿宋" w:hAnsi="仿宋" w:eastAsia="仿宋" w:cs="仿宋"/>
          <w:spacing w:val="-84"/>
          <w:sz w:val="31"/>
          <w:szCs w:val="31"/>
        </w:rPr>
        <w:t xml:space="preserve"> </w:t>
      </w:r>
      <w:r>
        <w:rPr>
          <w:rFonts w:ascii="仿宋" w:hAnsi="仿宋" w:eastAsia="仿宋" w:cs="仿宋"/>
          <w:spacing w:val="12"/>
          <w:sz w:val="31"/>
          <w:szCs w:val="31"/>
        </w:rPr>
        <w:t>幅</w:t>
      </w:r>
      <w:r>
        <w:rPr>
          <w:rFonts w:ascii="仿宋" w:hAnsi="仿宋" w:eastAsia="仿宋" w:cs="仿宋"/>
          <w:spacing w:val="11"/>
          <w:sz w:val="31"/>
          <w:szCs w:val="31"/>
        </w:rPr>
        <w:t>员</w:t>
      </w:r>
      <w:r>
        <w:rPr>
          <w:rFonts w:ascii="仿宋" w:hAnsi="仿宋" w:eastAsia="仿宋" w:cs="仿宋"/>
          <w:spacing w:val="-32"/>
          <w:sz w:val="31"/>
          <w:szCs w:val="31"/>
        </w:rPr>
        <w:t xml:space="preserve"> </w:t>
      </w:r>
      <w:r>
        <w:rPr>
          <w:rFonts w:ascii="仿宋" w:hAnsi="仿宋" w:eastAsia="仿宋" w:cs="仿宋"/>
          <w:spacing w:val="11"/>
          <w:sz w:val="31"/>
          <w:szCs w:val="31"/>
        </w:rPr>
        <w:t>83007.85</w:t>
      </w:r>
      <w:r>
        <w:rPr>
          <w:rFonts w:ascii="仿宋" w:hAnsi="仿宋" w:eastAsia="仿宋" w:cs="仿宋"/>
          <w:spacing w:val="3"/>
          <w:sz w:val="31"/>
          <w:szCs w:val="31"/>
        </w:rPr>
        <w:t>平方公里。平均海拔</w:t>
      </w:r>
      <w:r>
        <w:rPr>
          <w:rFonts w:ascii="仿宋" w:hAnsi="仿宋" w:eastAsia="仿宋" w:cs="仿宋"/>
          <w:spacing w:val="-19"/>
          <w:sz w:val="31"/>
          <w:szCs w:val="31"/>
        </w:rPr>
        <w:t xml:space="preserve"> </w:t>
      </w:r>
      <w:r>
        <w:rPr>
          <w:rFonts w:ascii="仿宋" w:hAnsi="仿宋" w:eastAsia="仿宋" w:cs="仿宋"/>
          <w:spacing w:val="3"/>
          <w:sz w:val="31"/>
          <w:szCs w:val="31"/>
        </w:rPr>
        <w:t>3000</w:t>
      </w:r>
      <w:r>
        <w:rPr>
          <w:rFonts w:ascii="仿宋" w:hAnsi="仿宋" w:eastAsia="仿宋" w:cs="仿宋"/>
          <w:spacing w:val="-52"/>
          <w:sz w:val="31"/>
          <w:szCs w:val="31"/>
        </w:rPr>
        <w:t xml:space="preserve"> </w:t>
      </w:r>
      <w:r>
        <w:rPr>
          <w:rFonts w:ascii="仿宋" w:hAnsi="仿宋" w:eastAsia="仿宋" w:cs="仿宋"/>
          <w:spacing w:val="3"/>
          <w:sz w:val="31"/>
          <w:szCs w:val="31"/>
        </w:rPr>
        <w:t>米以上，州辖</w:t>
      </w:r>
      <w:r>
        <w:rPr>
          <w:rFonts w:ascii="仿宋" w:hAnsi="仿宋" w:eastAsia="仿宋" w:cs="仿宋"/>
          <w:spacing w:val="-41"/>
          <w:sz w:val="31"/>
          <w:szCs w:val="31"/>
        </w:rPr>
        <w:t xml:space="preserve"> </w:t>
      </w:r>
      <w:r>
        <w:rPr>
          <w:rFonts w:ascii="仿宋" w:hAnsi="仿宋" w:eastAsia="仿宋" w:cs="仿宋"/>
          <w:spacing w:val="3"/>
          <w:sz w:val="31"/>
          <w:szCs w:val="31"/>
        </w:rPr>
        <w:t>13</w:t>
      </w:r>
      <w:r>
        <w:rPr>
          <w:rFonts w:ascii="仿宋" w:hAnsi="仿宋" w:eastAsia="仿宋" w:cs="仿宋"/>
          <w:spacing w:val="-59"/>
          <w:sz w:val="31"/>
          <w:szCs w:val="31"/>
        </w:rPr>
        <w:t xml:space="preserve"> </w:t>
      </w:r>
      <w:r>
        <w:rPr>
          <w:rFonts w:ascii="仿宋" w:hAnsi="仿宋" w:eastAsia="仿宋" w:cs="仿宋"/>
          <w:spacing w:val="3"/>
          <w:sz w:val="31"/>
          <w:szCs w:val="31"/>
        </w:rPr>
        <w:t>个县（市）和卧</w:t>
      </w:r>
      <w:r>
        <w:rPr>
          <w:rFonts w:ascii="仿宋" w:hAnsi="仿宋" w:eastAsia="仿宋" w:cs="仿宋"/>
          <w:spacing w:val="4"/>
          <w:sz w:val="31"/>
          <w:szCs w:val="31"/>
        </w:rPr>
        <w:t>龙特别行政区，州人民政府驻马尔康市马尔康镇，海拔</w:t>
      </w:r>
      <w:r>
        <w:rPr>
          <w:rFonts w:ascii="仿宋" w:hAnsi="仿宋" w:eastAsia="仿宋" w:cs="仿宋"/>
          <w:spacing w:val="-44"/>
          <w:sz w:val="31"/>
          <w:szCs w:val="31"/>
        </w:rPr>
        <w:t xml:space="preserve"> </w:t>
      </w:r>
      <w:r>
        <w:rPr>
          <w:rFonts w:ascii="仿宋" w:hAnsi="仿宋" w:eastAsia="仿宋" w:cs="仿宋"/>
          <w:spacing w:val="4"/>
          <w:sz w:val="31"/>
          <w:szCs w:val="31"/>
        </w:rPr>
        <w:t>2600</w:t>
      </w:r>
      <w:r>
        <w:rPr>
          <w:rFonts w:ascii="仿宋" w:hAnsi="仿宋" w:eastAsia="仿宋" w:cs="仿宋"/>
          <w:spacing w:val="2"/>
          <w:sz w:val="31"/>
          <w:szCs w:val="31"/>
        </w:rPr>
        <w:t>米，距省府成都</w:t>
      </w:r>
      <w:r>
        <w:rPr>
          <w:rFonts w:ascii="仿宋" w:hAnsi="仿宋" w:eastAsia="仿宋" w:cs="仿宋"/>
          <w:spacing w:val="-30"/>
          <w:sz w:val="31"/>
          <w:szCs w:val="31"/>
        </w:rPr>
        <w:t xml:space="preserve"> </w:t>
      </w:r>
      <w:r>
        <w:rPr>
          <w:rFonts w:ascii="仿宋" w:hAnsi="仿宋" w:eastAsia="仿宋" w:cs="仿宋"/>
          <w:spacing w:val="2"/>
          <w:sz w:val="31"/>
          <w:szCs w:val="31"/>
        </w:rPr>
        <w:t>395</w:t>
      </w:r>
      <w:r>
        <w:rPr>
          <w:rFonts w:ascii="仿宋" w:hAnsi="仿宋" w:eastAsia="仿宋" w:cs="仿宋"/>
          <w:spacing w:val="-62"/>
          <w:sz w:val="31"/>
          <w:szCs w:val="31"/>
        </w:rPr>
        <w:t xml:space="preserve"> </w:t>
      </w:r>
      <w:r>
        <w:rPr>
          <w:rFonts w:ascii="仿宋" w:hAnsi="仿宋" w:eastAsia="仿宋" w:cs="仿宋"/>
          <w:spacing w:val="2"/>
          <w:sz w:val="31"/>
          <w:szCs w:val="31"/>
        </w:rPr>
        <w:t>公里。</w:t>
      </w:r>
    </w:p>
    <w:p w14:paraId="53370AB4">
      <w:pPr>
        <w:spacing w:before="7" w:line="333" w:lineRule="auto"/>
        <w:ind w:left="23" w:right="16" w:firstLine="653"/>
        <w:jc w:val="both"/>
        <w:rPr>
          <w:rFonts w:ascii="仿宋" w:hAnsi="仿宋" w:eastAsia="仿宋" w:cs="仿宋"/>
          <w:sz w:val="31"/>
          <w:szCs w:val="31"/>
        </w:rPr>
      </w:pPr>
      <w:r>
        <w:rPr>
          <w:rFonts w:ascii="仿宋" w:hAnsi="仿宋" w:eastAsia="仿宋" w:cs="仿宋"/>
          <w:spacing w:val="4"/>
          <w:sz w:val="31"/>
          <w:szCs w:val="31"/>
        </w:rPr>
        <w:t>2020 年阿坝州地区生产总值（</w:t>
      </w:r>
      <w:r>
        <w:rPr>
          <w:rFonts w:ascii="仿宋" w:hAnsi="仿宋" w:eastAsia="仿宋" w:cs="仿宋"/>
          <w:spacing w:val="-74"/>
          <w:sz w:val="31"/>
          <w:szCs w:val="31"/>
        </w:rPr>
        <w:t xml:space="preserve"> </w:t>
      </w:r>
      <w:r>
        <w:rPr>
          <w:rFonts w:ascii="仿宋" w:hAnsi="仿宋" w:eastAsia="仿宋" w:cs="仿宋"/>
          <w:sz w:val="31"/>
          <w:szCs w:val="31"/>
        </w:rPr>
        <w:t>GDP</w:t>
      </w:r>
      <w:r>
        <w:rPr>
          <w:rFonts w:ascii="仿宋" w:hAnsi="仿宋" w:eastAsia="仿宋" w:cs="仿宋"/>
          <w:spacing w:val="-63"/>
          <w:sz w:val="31"/>
          <w:szCs w:val="31"/>
        </w:rPr>
        <w:t xml:space="preserve"> </w:t>
      </w:r>
      <w:r>
        <w:rPr>
          <w:rFonts w:ascii="仿宋" w:hAnsi="仿宋" w:eastAsia="仿宋" w:cs="仿宋"/>
          <w:spacing w:val="4"/>
          <w:sz w:val="31"/>
          <w:szCs w:val="31"/>
        </w:rPr>
        <w:t>）突破</w:t>
      </w:r>
      <w:r>
        <w:rPr>
          <w:rFonts w:ascii="仿宋" w:hAnsi="仿宋" w:eastAsia="仿宋" w:cs="仿宋"/>
          <w:spacing w:val="46"/>
          <w:sz w:val="31"/>
          <w:szCs w:val="31"/>
        </w:rPr>
        <w:t xml:space="preserve"> </w:t>
      </w:r>
      <w:r>
        <w:rPr>
          <w:rFonts w:ascii="仿宋" w:hAnsi="仿宋" w:eastAsia="仿宋" w:cs="仿宋"/>
          <w:spacing w:val="4"/>
          <w:sz w:val="31"/>
          <w:szCs w:val="31"/>
        </w:rPr>
        <w:t>400</w:t>
      </w:r>
      <w:r>
        <w:rPr>
          <w:rFonts w:ascii="仿宋" w:hAnsi="仿宋" w:eastAsia="仿宋" w:cs="仿宋"/>
          <w:spacing w:val="34"/>
          <w:sz w:val="31"/>
          <w:szCs w:val="31"/>
        </w:rPr>
        <w:t xml:space="preserve"> </w:t>
      </w:r>
      <w:r>
        <w:rPr>
          <w:rFonts w:ascii="仿宋" w:hAnsi="仿宋" w:eastAsia="仿宋" w:cs="仿宋"/>
          <w:spacing w:val="4"/>
          <w:sz w:val="31"/>
          <w:szCs w:val="31"/>
        </w:rPr>
        <w:t>亿元，</w:t>
      </w:r>
      <w:r>
        <w:rPr>
          <w:rFonts w:ascii="仿宋" w:hAnsi="仿宋" w:eastAsia="仿宋" w:cs="仿宋"/>
          <w:spacing w:val="7"/>
          <w:sz w:val="31"/>
          <w:szCs w:val="31"/>
        </w:rPr>
        <w:t>达</w:t>
      </w:r>
      <w:r>
        <w:rPr>
          <w:rFonts w:ascii="仿宋" w:hAnsi="仿宋" w:eastAsia="仿宋" w:cs="仿宋"/>
          <w:spacing w:val="46"/>
          <w:sz w:val="31"/>
          <w:szCs w:val="31"/>
        </w:rPr>
        <w:t xml:space="preserve"> </w:t>
      </w:r>
      <w:r>
        <w:rPr>
          <w:rFonts w:ascii="仿宋" w:hAnsi="仿宋" w:eastAsia="仿宋" w:cs="仿宋"/>
          <w:spacing w:val="7"/>
          <w:sz w:val="31"/>
          <w:szCs w:val="31"/>
        </w:rPr>
        <w:t>411.75 亿元，按可比价格计算，</w:t>
      </w:r>
      <w:r>
        <w:rPr>
          <w:rFonts w:ascii="仿宋" w:hAnsi="仿宋" w:eastAsia="仿宋" w:cs="仿宋"/>
          <w:spacing w:val="-75"/>
          <w:sz w:val="31"/>
          <w:szCs w:val="31"/>
        </w:rPr>
        <w:t xml:space="preserve"> </w:t>
      </w:r>
      <w:r>
        <w:rPr>
          <w:rFonts w:ascii="仿宋" w:hAnsi="仿宋" w:eastAsia="仿宋" w:cs="仿宋"/>
          <w:spacing w:val="7"/>
          <w:sz w:val="31"/>
          <w:szCs w:val="31"/>
        </w:rPr>
        <w:t>比</w:t>
      </w:r>
      <w:r>
        <w:rPr>
          <w:rFonts w:ascii="仿宋" w:hAnsi="仿宋" w:eastAsia="仿宋" w:cs="仿宋"/>
          <w:spacing w:val="6"/>
          <w:sz w:val="31"/>
          <w:szCs w:val="31"/>
        </w:rPr>
        <w:t>上年增长</w:t>
      </w:r>
      <w:r>
        <w:rPr>
          <w:rFonts w:ascii="仿宋" w:hAnsi="仿宋" w:eastAsia="仿宋" w:cs="仿宋"/>
          <w:spacing w:val="60"/>
          <w:sz w:val="31"/>
          <w:szCs w:val="31"/>
        </w:rPr>
        <w:t xml:space="preserve"> </w:t>
      </w:r>
      <w:r>
        <w:rPr>
          <w:rFonts w:ascii="仿宋" w:hAnsi="仿宋" w:eastAsia="仿宋" w:cs="仿宋"/>
          <w:spacing w:val="6"/>
          <w:sz w:val="31"/>
          <w:szCs w:val="31"/>
        </w:rPr>
        <w:t>3.3%。其</w:t>
      </w:r>
      <w:r>
        <w:rPr>
          <w:rFonts w:ascii="仿宋" w:hAnsi="仿宋" w:eastAsia="仿宋" w:cs="仿宋"/>
          <w:spacing w:val="9"/>
          <w:sz w:val="31"/>
          <w:szCs w:val="31"/>
        </w:rPr>
        <w:t>中：第一产业增加值 82.07</w:t>
      </w:r>
      <w:r>
        <w:rPr>
          <w:rFonts w:ascii="仿宋" w:hAnsi="仿宋" w:eastAsia="仿宋" w:cs="仿宋"/>
          <w:spacing w:val="-48"/>
          <w:sz w:val="31"/>
          <w:szCs w:val="31"/>
        </w:rPr>
        <w:t xml:space="preserve"> </w:t>
      </w:r>
      <w:r>
        <w:rPr>
          <w:rFonts w:ascii="仿宋" w:hAnsi="仿宋" w:eastAsia="仿宋" w:cs="仿宋"/>
          <w:spacing w:val="9"/>
          <w:sz w:val="31"/>
          <w:szCs w:val="31"/>
        </w:rPr>
        <w:t>亿元，增长 4.5%，对经济增长的贡献率为</w:t>
      </w:r>
      <w:r>
        <w:rPr>
          <w:rFonts w:ascii="仿宋" w:hAnsi="仿宋" w:eastAsia="仿宋" w:cs="仿宋"/>
          <w:spacing w:val="68"/>
          <w:sz w:val="31"/>
          <w:szCs w:val="31"/>
        </w:rPr>
        <w:t xml:space="preserve"> </w:t>
      </w:r>
      <w:r>
        <w:rPr>
          <w:rFonts w:ascii="仿宋" w:hAnsi="仿宋" w:eastAsia="仿宋" w:cs="仿宋"/>
          <w:spacing w:val="9"/>
          <w:sz w:val="31"/>
          <w:szCs w:val="31"/>
        </w:rPr>
        <w:t>19.1%，拉动经济增长</w:t>
      </w:r>
      <w:r>
        <w:rPr>
          <w:rFonts w:ascii="仿宋" w:hAnsi="仿宋" w:eastAsia="仿宋" w:cs="仿宋"/>
          <w:spacing w:val="57"/>
          <w:sz w:val="31"/>
          <w:szCs w:val="31"/>
        </w:rPr>
        <w:t xml:space="preserve"> </w:t>
      </w:r>
      <w:r>
        <w:rPr>
          <w:rFonts w:ascii="仿宋" w:hAnsi="仿宋" w:eastAsia="仿宋" w:cs="仿宋"/>
          <w:spacing w:val="9"/>
          <w:sz w:val="31"/>
          <w:szCs w:val="31"/>
        </w:rPr>
        <w:t>0.6 个百分点；第二产</w:t>
      </w:r>
      <w:r>
        <w:rPr>
          <w:rFonts w:ascii="仿宋" w:hAnsi="仿宋" w:eastAsia="仿宋" w:cs="仿宋"/>
          <w:spacing w:val="6"/>
          <w:sz w:val="31"/>
          <w:szCs w:val="31"/>
        </w:rPr>
        <w:t>业增加值 96.45 亿元，增长</w:t>
      </w:r>
      <w:r>
        <w:rPr>
          <w:rFonts w:ascii="仿宋" w:hAnsi="仿宋" w:eastAsia="仿宋" w:cs="仿宋"/>
          <w:spacing w:val="45"/>
          <w:sz w:val="31"/>
          <w:szCs w:val="31"/>
        </w:rPr>
        <w:t xml:space="preserve"> </w:t>
      </w:r>
      <w:r>
        <w:rPr>
          <w:rFonts w:ascii="仿宋" w:hAnsi="仿宋" w:eastAsia="仿宋" w:cs="仿宋"/>
          <w:spacing w:val="6"/>
          <w:sz w:val="31"/>
          <w:szCs w:val="31"/>
        </w:rPr>
        <w:t>5.3%，对经济增长的贡献率为</w:t>
      </w:r>
      <w:r>
        <w:rPr>
          <w:rFonts w:ascii="仿宋" w:hAnsi="仿宋" w:eastAsia="仿宋" w:cs="仿宋"/>
          <w:spacing w:val="19"/>
          <w:sz w:val="31"/>
          <w:szCs w:val="31"/>
        </w:rPr>
        <w:t>49.5%，拉动经济增长</w:t>
      </w:r>
      <w:r>
        <w:rPr>
          <w:rFonts w:ascii="仿宋" w:hAnsi="仿宋" w:eastAsia="仿宋" w:cs="仿宋"/>
          <w:spacing w:val="98"/>
          <w:sz w:val="31"/>
          <w:szCs w:val="31"/>
        </w:rPr>
        <w:t xml:space="preserve"> </w:t>
      </w:r>
      <w:r>
        <w:rPr>
          <w:rFonts w:ascii="仿宋" w:hAnsi="仿宋" w:eastAsia="仿宋" w:cs="仿宋"/>
          <w:spacing w:val="19"/>
          <w:sz w:val="31"/>
          <w:szCs w:val="31"/>
        </w:rPr>
        <w:t>1.6 个百分点</w:t>
      </w:r>
      <w:r>
        <w:rPr>
          <w:rFonts w:ascii="仿宋" w:hAnsi="仿宋" w:eastAsia="仿宋" w:cs="仿宋"/>
          <w:spacing w:val="-92"/>
          <w:sz w:val="31"/>
          <w:szCs w:val="31"/>
        </w:rPr>
        <w:t xml:space="preserve"> </w:t>
      </w:r>
      <w:r>
        <w:rPr>
          <w:rFonts w:ascii="仿宋" w:hAnsi="仿宋" w:eastAsia="仿宋" w:cs="仿宋"/>
          <w:spacing w:val="19"/>
          <w:sz w:val="31"/>
          <w:szCs w:val="31"/>
        </w:rPr>
        <w:t>；</w:t>
      </w:r>
      <w:r>
        <w:rPr>
          <w:rFonts w:ascii="仿宋" w:hAnsi="仿宋" w:eastAsia="仿宋" w:cs="仿宋"/>
          <w:spacing w:val="-79"/>
          <w:sz w:val="31"/>
          <w:szCs w:val="31"/>
        </w:rPr>
        <w:t xml:space="preserve"> </w:t>
      </w:r>
      <w:r>
        <w:rPr>
          <w:rFonts w:ascii="仿宋" w:hAnsi="仿宋" w:eastAsia="仿宋" w:cs="仿宋"/>
          <w:spacing w:val="19"/>
          <w:sz w:val="31"/>
          <w:szCs w:val="31"/>
        </w:rPr>
        <w:t>第三产业增加值</w:t>
      </w:r>
      <w:r>
        <w:rPr>
          <w:rFonts w:ascii="仿宋" w:hAnsi="仿宋" w:eastAsia="仿宋" w:cs="仿宋"/>
          <w:spacing w:val="5"/>
          <w:sz w:val="31"/>
          <w:szCs w:val="31"/>
        </w:rPr>
        <w:t>233.23 亿元，增长 1.9%，对经济增长的贡献率为</w:t>
      </w:r>
      <w:r>
        <w:rPr>
          <w:rFonts w:ascii="仿宋" w:hAnsi="仿宋" w:eastAsia="仿宋" w:cs="仿宋"/>
          <w:spacing w:val="61"/>
          <w:sz w:val="31"/>
          <w:szCs w:val="31"/>
        </w:rPr>
        <w:t xml:space="preserve"> </w:t>
      </w:r>
      <w:r>
        <w:rPr>
          <w:rFonts w:ascii="仿宋" w:hAnsi="仿宋" w:eastAsia="仿宋" w:cs="仿宋"/>
          <w:spacing w:val="5"/>
          <w:sz w:val="31"/>
          <w:szCs w:val="31"/>
        </w:rPr>
        <w:t>31.4%，</w:t>
      </w:r>
      <w:r>
        <w:rPr>
          <w:rFonts w:ascii="仿宋" w:hAnsi="仿宋" w:eastAsia="仿宋" w:cs="仿宋"/>
          <w:spacing w:val="-13"/>
          <w:sz w:val="31"/>
          <w:szCs w:val="31"/>
        </w:rPr>
        <w:t>拉</w:t>
      </w:r>
      <w:r>
        <w:rPr>
          <w:rFonts w:ascii="仿宋" w:hAnsi="仿宋" w:eastAsia="仿宋" w:cs="仿宋"/>
          <w:spacing w:val="-35"/>
          <w:sz w:val="31"/>
          <w:szCs w:val="31"/>
        </w:rPr>
        <w:t xml:space="preserve"> </w:t>
      </w:r>
      <w:r>
        <w:rPr>
          <w:rFonts w:ascii="仿宋" w:hAnsi="仿宋" w:eastAsia="仿宋" w:cs="仿宋"/>
          <w:spacing w:val="-13"/>
          <w:sz w:val="31"/>
          <w:szCs w:val="31"/>
        </w:rPr>
        <w:t>动</w:t>
      </w:r>
      <w:r>
        <w:rPr>
          <w:rFonts w:ascii="仿宋" w:hAnsi="仿宋" w:eastAsia="仿宋" w:cs="仿宋"/>
          <w:spacing w:val="-43"/>
          <w:sz w:val="31"/>
          <w:szCs w:val="31"/>
        </w:rPr>
        <w:t xml:space="preserve"> </w:t>
      </w:r>
      <w:r>
        <w:rPr>
          <w:rFonts w:ascii="仿宋" w:hAnsi="仿宋" w:eastAsia="仿宋" w:cs="仿宋"/>
          <w:spacing w:val="-13"/>
          <w:sz w:val="31"/>
          <w:szCs w:val="31"/>
        </w:rPr>
        <w:t>经</w:t>
      </w:r>
      <w:r>
        <w:rPr>
          <w:rFonts w:ascii="仿宋" w:hAnsi="仿宋" w:eastAsia="仿宋" w:cs="仿宋"/>
          <w:spacing w:val="-38"/>
          <w:sz w:val="31"/>
          <w:szCs w:val="31"/>
        </w:rPr>
        <w:t xml:space="preserve"> </w:t>
      </w:r>
      <w:r>
        <w:rPr>
          <w:rFonts w:ascii="仿宋" w:hAnsi="仿宋" w:eastAsia="仿宋" w:cs="仿宋"/>
          <w:spacing w:val="-13"/>
          <w:sz w:val="31"/>
          <w:szCs w:val="31"/>
        </w:rPr>
        <w:t>济</w:t>
      </w:r>
      <w:r>
        <w:rPr>
          <w:rFonts w:ascii="仿宋" w:hAnsi="仿宋" w:eastAsia="仿宋" w:cs="仿宋"/>
          <w:spacing w:val="-56"/>
          <w:sz w:val="31"/>
          <w:szCs w:val="31"/>
        </w:rPr>
        <w:t xml:space="preserve"> </w:t>
      </w:r>
      <w:r>
        <w:rPr>
          <w:rFonts w:ascii="仿宋" w:hAnsi="仿宋" w:eastAsia="仿宋" w:cs="仿宋"/>
          <w:spacing w:val="-13"/>
          <w:sz w:val="31"/>
          <w:szCs w:val="31"/>
        </w:rPr>
        <w:t>增</w:t>
      </w:r>
      <w:r>
        <w:rPr>
          <w:rFonts w:ascii="仿宋" w:hAnsi="仿宋" w:eastAsia="仿宋" w:cs="仿宋"/>
          <w:spacing w:val="-47"/>
          <w:sz w:val="31"/>
          <w:szCs w:val="31"/>
        </w:rPr>
        <w:t xml:space="preserve"> </w:t>
      </w:r>
      <w:r>
        <w:rPr>
          <w:rFonts w:ascii="仿宋" w:hAnsi="仿宋" w:eastAsia="仿宋" w:cs="仿宋"/>
          <w:spacing w:val="-13"/>
          <w:sz w:val="31"/>
          <w:szCs w:val="31"/>
        </w:rPr>
        <w:t>长</w:t>
      </w:r>
      <w:r>
        <w:rPr>
          <w:rFonts w:ascii="仿宋" w:hAnsi="仿宋" w:eastAsia="仿宋" w:cs="仿宋"/>
          <w:spacing w:val="29"/>
          <w:sz w:val="31"/>
          <w:szCs w:val="31"/>
        </w:rPr>
        <w:t xml:space="preserve">  </w:t>
      </w:r>
      <w:r>
        <w:rPr>
          <w:rFonts w:ascii="仿宋" w:hAnsi="仿宋" w:eastAsia="仿宋" w:cs="仿宋"/>
          <w:spacing w:val="-13"/>
          <w:sz w:val="31"/>
          <w:szCs w:val="31"/>
        </w:rPr>
        <w:t>1.1</w:t>
      </w:r>
      <w:r>
        <w:rPr>
          <w:rFonts w:ascii="仿宋" w:hAnsi="仿宋" w:eastAsia="仿宋" w:cs="仿宋"/>
          <w:spacing w:val="109"/>
          <w:sz w:val="31"/>
          <w:szCs w:val="31"/>
        </w:rPr>
        <w:t xml:space="preserve"> </w:t>
      </w:r>
      <w:r>
        <w:rPr>
          <w:rFonts w:ascii="仿宋" w:hAnsi="仿宋" w:eastAsia="仿宋" w:cs="仿宋"/>
          <w:spacing w:val="-13"/>
          <w:sz w:val="31"/>
          <w:szCs w:val="31"/>
        </w:rPr>
        <w:t>个</w:t>
      </w:r>
      <w:r>
        <w:rPr>
          <w:rFonts w:ascii="仿宋" w:hAnsi="仿宋" w:eastAsia="仿宋" w:cs="仿宋"/>
          <w:spacing w:val="-37"/>
          <w:sz w:val="31"/>
          <w:szCs w:val="31"/>
        </w:rPr>
        <w:t xml:space="preserve"> </w:t>
      </w:r>
      <w:r>
        <w:rPr>
          <w:rFonts w:ascii="仿宋" w:hAnsi="仿宋" w:eastAsia="仿宋" w:cs="仿宋"/>
          <w:spacing w:val="-13"/>
          <w:sz w:val="31"/>
          <w:szCs w:val="31"/>
        </w:rPr>
        <w:t>百</w:t>
      </w:r>
      <w:r>
        <w:rPr>
          <w:rFonts w:ascii="仿宋" w:hAnsi="仿宋" w:eastAsia="仿宋" w:cs="仿宋"/>
          <w:spacing w:val="-49"/>
          <w:sz w:val="31"/>
          <w:szCs w:val="31"/>
        </w:rPr>
        <w:t xml:space="preserve"> </w:t>
      </w:r>
      <w:r>
        <w:rPr>
          <w:rFonts w:ascii="仿宋" w:hAnsi="仿宋" w:eastAsia="仿宋" w:cs="仿宋"/>
          <w:spacing w:val="-13"/>
          <w:sz w:val="31"/>
          <w:szCs w:val="31"/>
        </w:rPr>
        <w:t>分 点</w:t>
      </w:r>
      <w:r>
        <w:rPr>
          <w:rFonts w:ascii="仿宋" w:hAnsi="仿宋" w:eastAsia="仿宋" w:cs="仿宋"/>
          <w:spacing w:val="-73"/>
          <w:sz w:val="31"/>
          <w:szCs w:val="31"/>
        </w:rPr>
        <w:t xml:space="preserve"> </w:t>
      </w:r>
      <w:r>
        <w:rPr>
          <w:rFonts w:ascii="仿宋" w:hAnsi="仿宋" w:eastAsia="仿宋" w:cs="仿宋"/>
          <w:spacing w:val="-13"/>
          <w:sz w:val="31"/>
          <w:szCs w:val="31"/>
        </w:rPr>
        <w:t>。 三</w:t>
      </w:r>
      <w:r>
        <w:rPr>
          <w:rFonts w:ascii="仿宋" w:hAnsi="仿宋" w:eastAsia="仿宋" w:cs="仿宋"/>
          <w:spacing w:val="-47"/>
          <w:sz w:val="31"/>
          <w:szCs w:val="31"/>
        </w:rPr>
        <w:t xml:space="preserve"> </w:t>
      </w:r>
      <w:r>
        <w:rPr>
          <w:rFonts w:ascii="仿宋" w:hAnsi="仿宋" w:eastAsia="仿宋" w:cs="仿宋"/>
          <w:spacing w:val="-13"/>
          <w:sz w:val="31"/>
          <w:szCs w:val="31"/>
        </w:rPr>
        <w:t>次</w:t>
      </w:r>
      <w:r>
        <w:rPr>
          <w:rFonts w:ascii="仿宋" w:hAnsi="仿宋" w:eastAsia="仿宋" w:cs="仿宋"/>
          <w:spacing w:val="-51"/>
          <w:sz w:val="31"/>
          <w:szCs w:val="31"/>
        </w:rPr>
        <w:t xml:space="preserve"> </w:t>
      </w:r>
      <w:r>
        <w:rPr>
          <w:rFonts w:ascii="仿宋" w:hAnsi="仿宋" w:eastAsia="仿宋" w:cs="仿宋"/>
          <w:spacing w:val="-13"/>
          <w:sz w:val="31"/>
          <w:szCs w:val="31"/>
        </w:rPr>
        <w:t>产</w:t>
      </w:r>
      <w:r>
        <w:rPr>
          <w:rFonts w:ascii="仿宋" w:hAnsi="仿宋" w:eastAsia="仿宋" w:cs="仿宋"/>
          <w:spacing w:val="-38"/>
          <w:sz w:val="31"/>
          <w:szCs w:val="31"/>
        </w:rPr>
        <w:t xml:space="preserve"> </w:t>
      </w:r>
      <w:r>
        <w:rPr>
          <w:rFonts w:ascii="仿宋" w:hAnsi="仿宋" w:eastAsia="仿宋" w:cs="仿宋"/>
          <w:spacing w:val="-13"/>
          <w:sz w:val="31"/>
          <w:szCs w:val="31"/>
        </w:rPr>
        <w:t>业</w:t>
      </w:r>
      <w:r>
        <w:rPr>
          <w:rFonts w:ascii="仿宋" w:hAnsi="仿宋" w:eastAsia="仿宋" w:cs="仿宋"/>
          <w:spacing w:val="-42"/>
          <w:sz w:val="31"/>
          <w:szCs w:val="31"/>
        </w:rPr>
        <w:t xml:space="preserve"> </w:t>
      </w:r>
      <w:r>
        <w:rPr>
          <w:rFonts w:ascii="仿宋" w:hAnsi="仿宋" w:eastAsia="仿宋" w:cs="仿宋"/>
          <w:spacing w:val="-13"/>
          <w:sz w:val="31"/>
          <w:szCs w:val="31"/>
        </w:rPr>
        <w:t>结</w:t>
      </w:r>
      <w:r>
        <w:rPr>
          <w:rFonts w:ascii="仿宋" w:hAnsi="仿宋" w:eastAsia="仿宋" w:cs="仿宋"/>
          <w:spacing w:val="-51"/>
          <w:sz w:val="31"/>
          <w:szCs w:val="31"/>
        </w:rPr>
        <w:t xml:space="preserve"> </w:t>
      </w:r>
      <w:r>
        <w:rPr>
          <w:rFonts w:ascii="仿宋" w:hAnsi="仿宋" w:eastAsia="仿宋" w:cs="仿宋"/>
          <w:spacing w:val="-13"/>
          <w:sz w:val="31"/>
          <w:szCs w:val="31"/>
        </w:rPr>
        <w:t>构</w:t>
      </w:r>
      <w:r>
        <w:rPr>
          <w:rFonts w:ascii="仿宋" w:hAnsi="仿宋" w:eastAsia="仿宋" w:cs="仿宋"/>
          <w:spacing w:val="-42"/>
          <w:sz w:val="31"/>
          <w:szCs w:val="31"/>
        </w:rPr>
        <w:t xml:space="preserve"> </w:t>
      </w:r>
      <w:r>
        <w:rPr>
          <w:rFonts w:ascii="仿宋" w:hAnsi="仿宋" w:eastAsia="仿宋" w:cs="仿宋"/>
          <w:spacing w:val="-13"/>
          <w:sz w:val="31"/>
          <w:szCs w:val="31"/>
        </w:rPr>
        <w:t>为</w:t>
      </w:r>
      <w:r>
        <w:rPr>
          <w:rFonts w:ascii="仿宋" w:hAnsi="仿宋" w:eastAsia="仿宋" w:cs="仿宋"/>
          <w:spacing w:val="2"/>
          <w:sz w:val="31"/>
          <w:szCs w:val="31"/>
        </w:rPr>
        <w:t>19.9:23.4:56.7。单位</w:t>
      </w:r>
      <w:r>
        <w:rPr>
          <w:rFonts w:ascii="仿宋" w:hAnsi="仿宋" w:eastAsia="仿宋" w:cs="仿宋"/>
          <w:spacing w:val="-70"/>
          <w:sz w:val="31"/>
          <w:szCs w:val="31"/>
        </w:rPr>
        <w:t xml:space="preserve"> </w:t>
      </w:r>
      <w:r>
        <w:rPr>
          <w:rFonts w:ascii="仿宋" w:hAnsi="仿宋" w:eastAsia="仿宋" w:cs="仿宋"/>
          <w:sz w:val="31"/>
          <w:szCs w:val="31"/>
        </w:rPr>
        <w:t>GDP</w:t>
      </w:r>
      <w:r>
        <w:rPr>
          <w:rFonts w:ascii="仿宋" w:hAnsi="仿宋" w:eastAsia="仿宋" w:cs="仿宋"/>
          <w:spacing w:val="48"/>
          <w:sz w:val="31"/>
          <w:szCs w:val="31"/>
        </w:rPr>
        <w:t xml:space="preserve"> </w:t>
      </w:r>
      <w:r>
        <w:rPr>
          <w:rFonts w:ascii="仿宋" w:hAnsi="仿宋" w:eastAsia="仿宋" w:cs="仿宋"/>
          <w:spacing w:val="2"/>
          <w:sz w:val="31"/>
          <w:szCs w:val="31"/>
        </w:rPr>
        <w:t>能耗下降 5.32%</w:t>
      </w:r>
      <w:r>
        <w:rPr>
          <w:rFonts w:ascii="仿宋" w:hAnsi="仿宋" w:eastAsia="仿宋" w:cs="仿宋"/>
          <w:spacing w:val="1"/>
          <w:sz w:val="31"/>
          <w:szCs w:val="31"/>
        </w:rPr>
        <w:t>。 截至</w:t>
      </w:r>
      <w:r>
        <w:rPr>
          <w:rFonts w:ascii="仿宋" w:hAnsi="仿宋" w:eastAsia="仿宋" w:cs="仿宋"/>
          <w:spacing w:val="-53"/>
          <w:sz w:val="31"/>
          <w:szCs w:val="31"/>
        </w:rPr>
        <w:t xml:space="preserve"> </w:t>
      </w:r>
      <w:r>
        <w:rPr>
          <w:rFonts w:ascii="仿宋" w:hAnsi="仿宋" w:eastAsia="仿宋" w:cs="仿宋"/>
          <w:spacing w:val="1"/>
          <w:sz w:val="31"/>
          <w:szCs w:val="31"/>
        </w:rPr>
        <w:t>2020</w:t>
      </w:r>
      <w:r>
        <w:rPr>
          <w:rFonts w:ascii="仿宋" w:hAnsi="仿宋" w:eastAsia="仿宋" w:cs="仿宋"/>
          <w:spacing w:val="-67"/>
          <w:sz w:val="31"/>
          <w:szCs w:val="31"/>
        </w:rPr>
        <w:t xml:space="preserve"> </w:t>
      </w:r>
      <w:r>
        <w:rPr>
          <w:rFonts w:ascii="仿宋" w:hAnsi="仿宋" w:eastAsia="仿宋" w:cs="仿宋"/>
          <w:spacing w:val="1"/>
          <w:sz w:val="31"/>
          <w:szCs w:val="31"/>
        </w:rPr>
        <w:t>年</w:t>
      </w:r>
      <w:r>
        <w:rPr>
          <w:rFonts w:ascii="仿宋" w:hAnsi="仿宋" w:eastAsia="仿宋" w:cs="仿宋"/>
          <w:spacing w:val="9"/>
          <w:sz w:val="31"/>
          <w:szCs w:val="31"/>
        </w:rPr>
        <w:t>底，矿业从业人员</w:t>
      </w:r>
      <w:r>
        <w:rPr>
          <w:rFonts w:ascii="仿宋" w:hAnsi="仿宋" w:eastAsia="仿宋" w:cs="仿宋"/>
          <w:spacing w:val="61"/>
          <w:sz w:val="31"/>
          <w:szCs w:val="31"/>
        </w:rPr>
        <w:t xml:space="preserve"> </w:t>
      </w:r>
      <w:r>
        <w:rPr>
          <w:rFonts w:ascii="仿宋" w:hAnsi="仿宋" w:eastAsia="仿宋" w:cs="仿宋"/>
          <w:spacing w:val="9"/>
          <w:sz w:val="31"/>
          <w:szCs w:val="31"/>
        </w:rPr>
        <w:t>1037 人，矿业总产值</w:t>
      </w:r>
      <w:r>
        <w:rPr>
          <w:rFonts w:ascii="仿宋" w:hAnsi="仿宋" w:eastAsia="仿宋" w:cs="仿宋"/>
          <w:spacing w:val="55"/>
          <w:sz w:val="31"/>
          <w:szCs w:val="31"/>
        </w:rPr>
        <w:t xml:space="preserve"> </w:t>
      </w:r>
      <w:r>
        <w:rPr>
          <w:rFonts w:ascii="仿宋" w:hAnsi="仿宋" w:eastAsia="仿宋" w:cs="仿宋"/>
          <w:spacing w:val="9"/>
          <w:sz w:val="31"/>
          <w:szCs w:val="31"/>
        </w:rPr>
        <w:t>10.06 亿元、利</w:t>
      </w:r>
      <w:r>
        <w:rPr>
          <w:rFonts w:ascii="仿宋" w:hAnsi="仿宋" w:eastAsia="仿宋" w:cs="仿宋"/>
          <w:spacing w:val="7"/>
          <w:sz w:val="31"/>
          <w:szCs w:val="31"/>
        </w:rPr>
        <w:t>税总额</w:t>
      </w:r>
      <w:r>
        <w:rPr>
          <w:rFonts w:ascii="仿宋" w:hAnsi="仿宋" w:eastAsia="仿宋" w:cs="仿宋"/>
          <w:spacing w:val="-37"/>
          <w:sz w:val="31"/>
          <w:szCs w:val="31"/>
        </w:rPr>
        <w:t xml:space="preserve"> </w:t>
      </w:r>
      <w:r>
        <w:rPr>
          <w:rFonts w:ascii="仿宋" w:hAnsi="仿宋" w:eastAsia="仿宋" w:cs="仿宋"/>
          <w:spacing w:val="7"/>
          <w:sz w:val="31"/>
          <w:szCs w:val="31"/>
        </w:rPr>
        <w:t>1.85 亿元，矿业经济发展态势总体平稳，</w:t>
      </w:r>
      <w:r>
        <w:rPr>
          <w:rFonts w:ascii="仿宋" w:hAnsi="仿宋" w:eastAsia="仿宋" w:cs="仿宋"/>
          <w:spacing w:val="-83"/>
          <w:sz w:val="31"/>
          <w:szCs w:val="31"/>
        </w:rPr>
        <w:t xml:space="preserve"> </w:t>
      </w:r>
      <w:r>
        <w:rPr>
          <w:rFonts w:ascii="仿宋" w:hAnsi="仿宋" w:eastAsia="仿宋" w:cs="仿宋"/>
          <w:spacing w:val="7"/>
          <w:sz w:val="31"/>
          <w:szCs w:val="31"/>
        </w:rPr>
        <w:t>以锂矿为</w:t>
      </w:r>
      <w:r>
        <w:rPr>
          <w:rFonts w:ascii="仿宋" w:hAnsi="仿宋" w:eastAsia="仿宋" w:cs="仿宋"/>
          <w:spacing w:val="9"/>
          <w:sz w:val="31"/>
          <w:szCs w:val="31"/>
        </w:rPr>
        <w:t>代表的矿产为全州相关工业体系提供了一定的基础</w:t>
      </w:r>
      <w:r>
        <w:rPr>
          <w:rFonts w:ascii="仿宋" w:hAnsi="仿宋" w:eastAsia="仿宋" w:cs="仿宋"/>
          <w:spacing w:val="8"/>
          <w:sz w:val="31"/>
          <w:szCs w:val="31"/>
        </w:rPr>
        <w:t>保障。</w:t>
      </w:r>
    </w:p>
    <w:p w14:paraId="0EE6E4A3">
      <w:pPr>
        <w:spacing w:line="333" w:lineRule="auto"/>
        <w:rPr>
          <w:rFonts w:ascii="仿宋" w:hAnsi="仿宋" w:eastAsia="仿宋" w:cs="仿宋"/>
          <w:sz w:val="31"/>
          <w:szCs w:val="31"/>
        </w:rPr>
        <w:sectPr>
          <w:footerReference r:id="rId8" w:type="default"/>
          <w:pgSz w:w="11904" w:h="16835"/>
          <w:pgMar w:top="1430" w:right="1785" w:bottom="1289" w:left="1785" w:header="0" w:footer="920" w:gutter="0"/>
          <w:cols w:space="720" w:num="1"/>
        </w:sectPr>
      </w:pPr>
    </w:p>
    <w:p w14:paraId="7A8B5DC2">
      <w:pPr>
        <w:spacing w:before="126" w:line="323" w:lineRule="exact"/>
        <w:ind w:left="1894"/>
        <w:outlineLvl w:val="0"/>
        <w:rPr>
          <w:rFonts w:ascii="微软雅黑" w:hAnsi="微软雅黑" w:eastAsia="微软雅黑" w:cs="微软雅黑"/>
          <w:sz w:val="31"/>
          <w:szCs w:val="31"/>
        </w:rPr>
      </w:pPr>
      <w:bookmarkStart w:id="4" w:name="bookmark4"/>
      <w:bookmarkEnd w:id="4"/>
      <w:r>
        <w:rPr>
          <w:rFonts w:ascii="微软雅黑" w:hAnsi="微软雅黑" w:eastAsia="微软雅黑" w:cs="微软雅黑"/>
          <w:spacing w:val="4"/>
          <w:position w:val="-1"/>
          <w:sz w:val="31"/>
          <w:szCs w:val="31"/>
        </w:rPr>
        <w:t>第二节</w:t>
      </w:r>
      <w:r>
        <w:rPr>
          <w:rFonts w:ascii="微软雅黑" w:hAnsi="微软雅黑" w:eastAsia="微软雅黑" w:cs="微软雅黑"/>
          <w:spacing w:val="86"/>
          <w:position w:val="-1"/>
          <w:sz w:val="31"/>
          <w:szCs w:val="31"/>
        </w:rPr>
        <w:t xml:space="preserve"> </w:t>
      </w:r>
      <w:r>
        <w:rPr>
          <w:rFonts w:ascii="微软雅黑" w:hAnsi="微软雅黑" w:eastAsia="微软雅黑" w:cs="微软雅黑"/>
          <w:spacing w:val="4"/>
          <w:position w:val="-1"/>
          <w:sz w:val="31"/>
          <w:szCs w:val="31"/>
        </w:rPr>
        <w:t>矿产资源特点及勘查开发现状</w:t>
      </w:r>
    </w:p>
    <w:p w14:paraId="765E459B">
      <w:pPr>
        <w:pStyle w:val="2"/>
        <w:spacing w:line="455" w:lineRule="auto"/>
      </w:pPr>
    </w:p>
    <w:p w14:paraId="6A9619A9">
      <w:pPr>
        <w:spacing w:before="133" w:line="181" w:lineRule="auto"/>
        <w:ind w:left="596"/>
        <w:rPr>
          <w:rFonts w:ascii="黑体" w:hAnsi="黑体" w:eastAsia="黑体" w:cs="黑体"/>
          <w:sz w:val="31"/>
          <w:szCs w:val="31"/>
        </w:rPr>
      </w:pPr>
      <w:r>
        <w:rPr>
          <w:rFonts w:ascii="微软雅黑" w:hAnsi="微软雅黑" w:eastAsia="微软雅黑" w:cs="微软雅黑"/>
          <w:spacing w:val="2"/>
          <w:position w:val="3"/>
          <w:sz w:val="31"/>
          <w:szCs w:val="31"/>
        </w:rPr>
        <w:t>一</w:t>
      </w:r>
      <w:r>
        <w:rPr>
          <w:rFonts w:ascii="微软雅黑" w:hAnsi="微软雅黑" w:eastAsia="微软雅黑" w:cs="微软雅黑"/>
          <w:spacing w:val="-30"/>
          <w:position w:val="3"/>
          <w:sz w:val="31"/>
          <w:szCs w:val="31"/>
        </w:rPr>
        <w:t xml:space="preserve"> </w:t>
      </w:r>
      <w:r>
        <w:rPr>
          <w:rFonts w:ascii="微软雅黑" w:hAnsi="微软雅黑" w:eastAsia="微软雅黑" w:cs="微软雅黑"/>
          <w:spacing w:val="2"/>
          <w:position w:val="3"/>
          <w:sz w:val="31"/>
          <w:szCs w:val="31"/>
        </w:rPr>
        <w:t>、</w:t>
      </w:r>
      <w:r>
        <w:rPr>
          <w:rFonts w:ascii="微软雅黑" w:hAnsi="微软雅黑" w:eastAsia="微软雅黑" w:cs="微软雅黑"/>
          <w:spacing w:val="-71"/>
          <w:position w:val="3"/>
          <w:sz w:val="31"/>
          <w:szCs w:val="31"/>
        </w:rPr>
        <w:t xml:space="preserve"> </w:t>
      </w:r>
      <w:r>
        <w:rPr>
          <w:rFonts w:ascii="黑体" w:hAnsi="黑体" w:eastAsia="黑体" w:cs="黑体"/>
          <w:spacing w:val="2"/>
          <w:sz w:val="31"/>
          <w:szCs w:val="31"/>
        </w:rPr>
        <w:t>矿产资源概况及特点</w:t>
      </w:r>
    </w:p>
    <w:p w14:paraId="327CC6FF">
      <w:pPr>
        <w:spacing w:before="243" w:line="331" w:lineRule="auto"/>
        <w:ind w:left="23" w:right="16" w:firstLine="664"/>
        <w:rPr>
          <w:rFonts w:ascii="仿宋" w:hAnsi="仿宋" w:eastAsia="仿宋" w:cs="仿宋"/>
          <w:sz w:val="31"/>
          <w:szCs w:val="31"/>
        </w:rPr>
      </w:pPr>
      <w:r>
        <w:rPr>
          <w:rFonts w:ascii="仿宋" w:hAnsi="仿宋" w:eastAsia="仿宋" w:cs="仿宋"/>
          <w:spacing w:val="8"/>
          <w:sz w:val="31"/>
          <w:szCs w:val="31"/>
        </w:rPr>
        <w:t>阿坝州矿产资源较丰富，尤其以锂稀有金属</w:t>
      </w:r>
      <w:r>
        <w:rPr>
          <w:rFonts w:ascii="仿宋" w:hAnsi="仿宋" w:eastAsia="仿宋" w:cs="仿宋"/>
          <w:spacing w:val="7"/>
          <w:sz w:val="31"/>
          <w:szCs w:val="31"/>
        </w:rPr>
        <w:t>矿、金贵金</w:t>
      </w:r>
      <w:r>
        <w:rPr>
          <w:rFonts w:ascii="仿宋" w:hAnsi="仿宋" w:eastAsia="仿宋" w:cs="仿宋"/>
          <w:spacing w:val="9"/>
          <w:sz w:val="31"/>
          <w:szCs w:val="31"/>
        </w:rPr>
        <w:t>属矿等为优势矿种，保有资源量较大，在省内优势</w:t>
      </w:r>
      <w:r>
        <w:rPr>
          <w:rFonts w:ascii="仿宋" w:hAnsi="仿宋" w:eastAsia="仿宋" w:cs="仿宋"/>
          <w:spacing w:val="8"/>
          <w:sz w:val="31"/>
          <w:szCs w:val="31"/>
        </w:rPr>
        <w:t>明显。</w:t>
      </w:r>
    </w:p>
    <w:p w14:paraId="1B622691">
      <w:pPr>
        <w:pStyle w:val="2"/>
        <w:spacing w:before="10" w:line="317" w:lineRule="auto"/>
        <w:ind w:left="26" w:right="16" w:firstLine="641"/>
        <w:rPr>
          <w:rFonts w:ascii="仿宋" w:hAnsi="仿宋" w:eastAsia="仿宋" w:cs="仿宋"/>
          <w:sz w:val="31"/>
          <w:szCs w:val="31"/>
        </w:rPr>
      </w:pPr>
      <w:r>
        <w:rPr>
          <w:rFonts w:ascii="微软雅黑" w:hAnsi="微软雅黑" w:eastAsia="微软雅黑" w:cs="微软雅黑"/>
          <w:spacing w:val="2"/>
          <w:sz w:val="31"/>
          <w:szCs w:val="31"/>
        </w:rPr>
        <w:t xml:space="preserve">矿产资源种类较多 </w:t>
      </w:r>
      <w:r>
        <w:rPr>
          <w:spacing w:val="2"/>
          <w:sz w:val="31"/>
          <w:szCs w:val="31"/>
        </w:rPr>
        <w:t>,</w:t>
      </w:r>
      <w:r>
        <w:rPr>
          <w:spacing w:val="32"/>
          <w:sz w:val="31"/>
          <w:szCs w:val="31"/>
        </w:rPr>
        <w:t xml:space="preserve">  </w:t>
      </w:r>
      <w:r>
        <w:rPr>
          <w:rFonts w:ascii="微软雅黑" w:hAnsi="微软雅黑" w:eastAsia="微软雅黑" w:cs="微软雅黑"/>
          <w:spacing w:val="2"/>
          <w:sz w:val="31"/>
          <w:szCs w:val="31"/>
        </w:rPr>
        <w:t>开发利用价值高</w:t>
      </w:r>
      <w:r>
        <w:rPr>
          <w:rFonts w:ascii="微软雅黑" w:hAnsi="微软雅黑" w:eastAsia="微软雅黑" w:cs="微软雅黑"/>
          <w:spacing w:val="-37"/>
          <w:sz w:val="31"/>
          <w:szCs w:val="31"/>
        </w:rPr>
        <w:t xml:space="preserve"> </w:t>
      </w:r>
      <w:r>
        <w:rPr>
          <w:rFonts w:ascii="微软雅黑" w:hAnsi="微软雅黑" w:eastAsia="微软雅黑" w:cs="微软雅黑"/>
          <w:spacing w:val="2"/>
          <w:sz w:val="31"/>
          <w:szCs w:val="31"/>
        </w:rPr>
        <w:t>。</w:t>
      </w:r>
      <w:r>
        <w:rPr>
          <w:rFonts w:ascii="仿宋" w:hAnsi="仿宋" w:eastAsia="仿宋" w:cs="仿宋"/>
          <w:spacing w:val="2"/>
          <w:sz w:val="31"/>
          <w:szCs w:val="31"/>
        </w:rPr>
        <w:t>迄今为止</w:t>
      </w:r>
      <w:r>
        <w:rPr>
          <w:rFonts w:ascii="仿宋" w:hAnsi="仿宋" w:eastAsia="仿宋" w:cs="仿宋"/>
          <w:spacing w:val="2"/>
          <w:position w:val="-9"/>
          <w:sz w:val="31"/>
          <w:szCs w:val="31"/>
        </w:rPr>
        <w:t>，</w:t>
      </w:r>
      <w:r>
        <w:rPr>
          <w:rFonts w:ascii="仿宋" w:hAnsi="仿宋" w:eastAsia="仿宋" w:cs="仿宋"/>
          <w:spacing w:val="1"/>
          <w:sz w:val="31"/>
          <w:szCs w:val="31"/>
        </w:rPr>
        <w:t>阿坝</w:t>
      </w:r>
      <w:r>
        <w:rPr>
          <w:rFonts w:ascii="仿宋" w:hAnsi="仿宋" w:eastAsia="仿宋" w:cs="仿宋"/>
          <w:spacing w:val="7"/>
          <w:sz w:val="31"/>
          <w:szCs w:val="31"/>
        </w:rPr>
        <w:t>州境内已发现矿种</w:t>
      </w:r>
      <w:r>
        <w:rPr>
          <w:rFonts w:ascii="仿宋" w:hAnsi="仿宋" w:eastAsia="仿宋" w:cs="仿宋"/>
          <w:spacing w:val="-26"/>
          <w:sz w:val="31"/>
          <w:szCs w:val="31"/>
        </w:rPr>
        <w:t xml:space="preserve"> </w:t>
      </w:r>
      <w:r>
        <w:rPr>
          <w:rFonts w:ascii="仿宋" w:hAnsi="仿宋" w:eastAsia="仿宋" w:cs="仿宋"/>
          <w:spacing w:val="7"/>
          <w:sz w:val="31"/>
          <w:szCs w:val="31"/>
        </w:rPr>
        <w:t>55</w:t>
      </w:r>
      <w:r>
        <w:rPr>
          <w:rFonts w:ascii="仿宋" w:hAnsi="仿宋" w:eastAsia="仿宋" w:cs="仿宋"/>
          <w:spacing w:val="-58"/>
          <w:sz w:val="31"/>
          <w:szCs w:val="31"/>
        </w:rPr>
        <w:t xml:space="preserve"> </w:t>
      </w:r>
      <w:r>
        <w:rPr>
          <w:rFonts w:ascii="仿宋" w:hAnsi="仿宋" w:eastAsia="仿宋" w:cs="仿宋"/>
          <w:spacing w:val="7"/>
          <w:sz w:val="31"/>
          <w:szCs w:val="31"/>
        </w:rPr>
        <w:t>个。现已查明和开发利用的矿种有</w:t>
      </w:r>
      <w:r>
        <w:rPr>
          <w:rFonts w:ascii="仿宋" w:hAnsi="仿宋" w:eastAsia="仿宋" w:cs="仿宋"/>
          <w:spacing w:val="-32"/>
          <w:sz w:val="31"/>
          <w:szCs w:val="31"/>
        </w:rPr>
        <w:t xml:space="preserve"> </w:t>
      </w:r>
      <w:r>
        <w:rPr>
          <w:rFonts w:ascii="仿宋" w:hAnsi="仿宋" w:eastAsia="仿宋" w:cs="仿宋"/>
          <w:spacing w:val="7"/>
          <w:sz w:val="31"/>
          <w:szCs w:val="31"/>
        </w:rPr>
        <w:t>30</w:t>
      </w:r>
      <w:r>
        <w:rPr>
          <w:rFonts w:ascii="仿宋" w:hAnsi="仿宋" w:eastAsia="仿宋" w:cs="仿宋"/>
          <w:spacing w:val="-1"/>
          <w:sz w:val="31"/>
          <w:szCs w:val="31"/>
        </w:rPr>
        <w:t>种，其中放射性矿产</w:t>
      </w:r>
      <w:r>
        <w:rPr>
          <w:rFonts w:ascii="仿宋" w:hAnsi="仿宋" w:eastAsia="仿宋" w:cs="仿宋"/>
          <w:spacing w:val="-42"/>
          <w:sz w:val="31"/>
          <w:szCs w:val="31"/>
        </w:rPr>
        <w:t xml:space="preserve"> </w:t>
      </w:r>
      <w:r>
        <w:rPr>
          <w:rFonts w:ascii="仿宋" w:hAnsi="仿宋" w:eastAsia="仿宋" w:cs="仿宋"/>
          <w:spacing w:val="-1"/>
          <w:sz w:val="31"/>
          <w:szCs w:val="31"/>
        </w:rPr>
        <w:t>1</w:t>
      </w:r>
      <w:r>
        <w:rPr>
          <w:rFonts w:ascii="仿宋" w:hAnsi="仿宋" w:eastAsia="仿宋" w:cs="仿宋"/>
          <w:spacing w:val="-61"/>
          <w:sz w:val="31"/>
          <w:szCs w:val="31"/>
        </w:rPr>
        <w:t xml:space="preserve"> </w:t>
      </w:r>
      <w:r>
        <w:rPr>
          <w:rFonts w:ascii="仿宋" w:hAnsi="仿宋" w:eastAsia="仿宋" w:cs="仿宋"/>
          <w:spacing w:val="-1"/>
          <w:sz w:val="31"/>
          <w:szCs w:val="31"/>
        </w:rPr>
        <w:t>种，金属矿产</w:t>
      </w:r>
      <w:r>
        <w:rPr>
          <w:rFonts w:ascii="仿宋" w:hAnsi="仿宋" w:eastAsia="仿宋" w:cs="仿宋"/>
          <w:spacing w:val="-46"/>
          <w:sz w:val="31"/>
          <w:szCs w:val="31"/>
        </w:rPr>
        <w:t xml:space="preserve"> </w:t>
      </w:r>
      <w:r>
        <w:rPr>
          <w:rFonts w:ascii="仿宋" w:hAnsi="仿宋" w:eastAsia="仿宋" w:cs="仿宋"/>
          <w:spacing w:val="-1"/>
          <w:sz w:val="31"/>
          <w:szCs w:val="31"/>
        </w:rPr>
        <w:t>13</w:t>
      </w:r>
      <w:r>
        <w:rPr>
          <w:rFonts w:ascii="仿宋" w:hAnsi="仿宋" w:eastAsia="仿宋" w:cs="仿宋"/>
          <w:spacing w:val="-61"/>
          <w:sz w:val="31"/>
          <w:szCs w:val="31"/>
        </w:rPr>
        <w:t xml:space="preserve"> </w:t>
      </w:r>
      <w:r>
        <w:rPr>
          <w:rFonts w:ascii="仿宋" w:hAnsi="仿宋" w:eastAsia="仿宋" w:cs="仿宋"/>
          <w:spacing w:val="-1"/>
          <w:sz w:val="31"/>
          <w:szCs w:val="31"/>
        </w:rPr>
        <w:t>种，为锂矿、金矿、</w:t>
      </w:r>
      <w:r>
        <w:rPr>
          <w:rFonts w:ascii="仿宋" w:hAnsi="仿宋" w:eastAsia="仿宋" w:cs="仿宋"/>
          <w:spacing w:val="-3"/>
          <w:sz w:val="31"/>
          <w:szCs w:val="31"/>
        </w:rPr>
        <w:t>铁矿、锰矿、钨矿、钼矿、镁矿、铜矿、银矿、铌矿、铍矿、</w:t>
      </w:r>
      <w:r>
        <w:rPr>
          <w:rFonts w:ascii="仿宋" w:hAnsi="仿宋" w:eastAsia="仿宋" w:cs="仿宋"/>
          <w:spacing w:val="12"/>
          <w:sz w:val="31"/>
          <w:szCs w:val="31"/>
        </w:rPr>
        <w:t>钽矿、锡矿；非金属矿产</w:t>
      </w:r>
      <w:r>
        <w:rPr>
          <w:rFonts w:ascii="仿宋" w:hAnsi="仿宋" w:eastAsia="仿宋" w:cs="仿宋"/>
          <w:spacing w:val="-28"/>
          <w:sz w:val="31"/>
          <w:szCs w:val="31"/>
        </w:rPr>
        <w:t xml:space="preserve"> </w:t>
      </w:r>
      <w:r>
        <w:rPr>
          <w:rFonts w:ascii="仿宋" w:hAnsi="仿宋" w:eastAsia="仿宋" w:cs="仿宋"/>
          <w:spacing w:val="12"/>
          <w:sz w:val="31"/>
          <w:szCs w:val="31"/>
        </w:rPr>
        <w:t>16</w:t>
      </w:r>
      <w:r>
        <w:rPr>
          <w:rFonts w:ascii="仿宋" w:hAnsi="仿宋" w:eastAsia="仿宋" w:cs="仿宋"/>
          <w:spacing w:val="-56"/>
          <w:sz w:val="31"/>
          <w:szCs w:val="31"/>
        </w:rPr>
        <w:t xml:space="preserve"> </w:t>
      </w:r>
      <w:r>
        <w:rPr>
          <w:rFonts w:ascii="仿宋" w:hAnsi="仿宋" w:eastAsia="仿宋" w:cs="仿宋"/>
          <w:spacing w:val="12"/>
          <w:sz w:val="31"/>
          <w:szCs w:val="31"/>
        </w:rPr>
        <w:t>种，为泥炭、硫铁矿、砷矿、</w:t>
      </w:r>
      <w:r>
        <w:rPr>
          <w:rFonts w:ascii="仿宋" w:hAnsi="仿宋" w:eastAsia="仿宋" w:cs="仿宋"/>
          <w:spacing w:val="-3"/>
          <w:sz w:val="31"/>
          <w:szCs w:val="31"/>
        </w:rPr>
        <w:t>云母、水晶、白云岩、硅石矿、石榴子石、石灰岩、花岗岩、大理岩、页岩矿、矿泉水、地热、建筑用砂、砖瓦用粘土等。</w:t>
      </w:r>
      <w:r>
        <w:rPr>
          <w:rFonts w:ascii="仿宋" w:hAnsi="仿宋" w:eastAsia="仿宋" w:cs="仿宋"/>
          <w:spacing w:val="8"/>
          <w:sz w:val="31"/>
          <w:szCs w:val="31"/>
        </w:rPr>
        <w:t>其中锂矿、金矿、锰矿为阿坝州优势矿产。</w:t>
      </w:r>
    </w:p>
    <w:p w14:paraId="34AE71B1">
      <w:pPr>
        <w:pStyle w:val="2"/>
        <w:spacing w:before="8" w:line="312" w:lineRule="auto"/>
        <w:ind w:left="40" w:right="1" w:firstLine="630"/>
        <w:rPr>
          <w:rFonts w:ascii="仿宋" w:hAnsi="仿宋" w:eastAsia="仿宋" w:cs="仿宋"/>
          <w:sz w:val="31"/>
          <w:szCs w:val="31"/>
        </w:rPr>
      </w:pPr>
      <w:r>
        <w:rPr>
          <w:rFonts w:ascii="微软雅黑" w:hAnsi="微软雅黑" w:eastAsia="微软雅黑" w:cs="微软雅黑"/>
          <w:spacing w:val="-1"/>
          <w:sz w:val="31"/>
          <w:szCs w:val="31"/>
        </w:rPr>
        <w:t>锂矿资源优势明显</w:t>
      </w:r>
      <w:r>
        <w:rPr>
          <w:rFonts w:ascii="微软雅黑" w:hAnsi="微软雅黑" w:eastAsia="微软雅黑" w:cs="微软雅黑"/>
          <w:spacing w:val="-27"/>
          <w:sz w:val="31"/>
          <w:szCs w:val="31"/>
        </w:rPr>
        <w:t xml:space="preserve"> </w:t>
      </w:r>
      <w:r>
        <w:rPr>
          <w:spacing w:val="-1"/>
          <w:sz w:val="31"/>
          <w:szCs w:val="31"/>
        </w:rPr>
        <w:t xml:space="preserve">,  </w:t>
      </w:r>
      <w:r>
        <w:rPr>
          <w:rFonts w:ascii="微软雅黑" w:hAnsi="微软雅黑" w:eastAsia="微软雅黑" w:cs="微软雅黑"/>
          <w:spacing w:val="-1"/>
          <w:sz w:val="31"/>
          <w:szCs w:val="31"/>
        </w:rPr>
        <w:t>综合利用价值高</w:t>
      </w:r>
      <w:r>
        <w:rPr>
          <w:rFonts w:ascii="微软雅黑" w:hAnsi="微软雅黑" w:eastAsia="微软雅黑" w:cs="微软雅黑"/>
          <w:spacing w:val="-43"/>
          <w:sz w:val="31"/>
          <w:szCs w:val="31"/>
        </w:rPr>
        <w:t xml:space="preserve"> </w:t>
      </w:r>
      <w:r>
        <w:rPr>
          <w:rFonts w:ascii="微软雅黑" w:hAnsi="微软雅黑" w:eastAsia="微软雅黑" w:cs="微软雅黑"/>
          <w:spacing w:val="-1"/>
          <w:sz w:val="31"/>
          <w:szCs w:val="31"/>
        </w:rPr>
        <w:t>。</w:t>
      </w:r>
      <w:r>
        <w:rPr>
          <w:rFonts w:ascii="仿宋" w:hAnsi="仿宋" w:eastAsia="仿宋" w:cs="仿宋"/>
          <w:spacing w:val="-1"/>
          <w:sz w:val="31"/>
          <w:szCs w:val="31"/>
        </w:rPr>
        <w:t>截止</w:t>
      </w:r>
      <w:r>
        <w:rPr>
          <w:rFonts w:ascii="仿宋" w:hAnsi="仿宋" w:eastAsia="仿宋" w:cs="仿宋"/>
          <w:spacing w:val="-58"/>
          <w:sz w:val="31"/>
          <w:szCs w:val="31"/>
        </w:rPr>
        <w:t xml:space="preserve"> </w:t>
      </w:r>
      <w:r>
        <w:rPr>
          <w:rFonts w:ascii="仿宋" w:hAnsi="仿宋" w:eastAsia="仿宋" w:cs="仿宋"/>
          <w:spacing w:val="-1"/>
          <w:sz w:val="31"/>
          <w:szCs w:val="31"/>
        </w:rPr>
        <w:t>2020</w:t>
      </w:r>
      <w:r>
        <w:rPr>
          <w:rFonts w:ascii="仿宋" w:hAnsi="仿宋" w:eastAsia="仿宋" w:cs="仿宋"/>
          <w:spacing w:val="-67"/>
          <w:sz w:val="31"/>
          <w:szCs w:val="31"/>
        </w:rPr>
        <w:t xml:space="preserve"> </w:t>
      </w:r>
      <w:r>
        <w:rPr>
          <w:rFonts w:ascii="仿宋" w:hAnsi="仿宋" w:eastAsia="仿宋" w:cs="仿宋"/>
          <w:spacing w:val="-1"/>
          <w:sz w:val="31"/>
          <w:szCs w:val="31"/>
        </w:rPr>
        <w:t>年底</w:t>
      </w:r>
      <w:r>
        <w:rPr>
          <w:rFonts w:ascii="仿宋" w:hAnsi="仿宋" w:eastAsia="仿宋" w:cs="仿宋"/>
          <w:spacing w:val="-1"/>
          <w:position w:val="-9"/>
          <w:sz w:val="31"/>
          <w:szCs w:val="31"/>
        </w:rPr>
        <w:t>，</w:t>
      </w:r>
      <w:r>
        <w:rPr>
          <w:rFonts w:ascii="仿宋" w:hAnsi="仿宋" w:eastAsia="仿宋" w:cs="仿宋"/>
          <w:spacing w:val="16"/>
          <w:sz w:val="31"/>
          <w:szCs w:val="31"/>
        </w:rPr>
        <w:t>阿坝州查明锂矿矿石资源量 10376.87</w:t>
      </w:r>
      <w:r>
        <w:rPr>
          <w:rFonts w:ascii="仿宋" w:hAnsi="仿宋" w:eastAsia="仿宋" w:cs="仿宋"/>
          <w:spacing w:val="-44"/>
          <w:sz w:val="31"/>
          <w:szCs w:val="31"/>
        </w:rPr>
        <w:t xml:space="preserve"> </w:t>
      </w:r>
      <w:r>
        <w:rPr>
          <w:rFonts w:ascii="仿宋" w:hAnsi="仿宋" w:eastAsia="仿宋" w:cs="仿宋"/>
          <w:spacing w:val="16"/>
          <w:sz w:val="31"/>
          <w:szCs w:val="31"/>
        </w:rPr>
        <w:t>万吨，</w:t>
      </w:r>
      <w:r>
        <w:rPr>
          <w:rFonts w:ascii="仿宋" w:hAnsi="仿宋" w:eastAsia="仿宋" w:cs="仿宋"/>
          <w:sz w:val="31"/>
          <w:szCs w:val="31"/>
        </w:rPr>
        <w:t>Li</w:t>
      </w:r>
      <w:r>
        <w:rPr>
          <w:rFonts w:ascii="仿宋" w:hAnsi="仿宋" w:eastAsia="仿宋" w:cs="仿宋"/>
          <w:spacing w:val="15"/>
          <w:position w:val="-2"/>
          <w:sz w:val="15"/>
          <w:szCs w:val="15"/>
        </w:rPr>
        <w:t>2</w:t>
      </w:r>
      <w:r>
        <w:rPr>
          <w:rFonts w:ascii="仿宋" w:hAnsi="仿宋" w:eastAsia="仿宋" w:cs="仿宋"/>
          <w:spacing w:val="15"/>
          <w:sz w:val="31"/>
          <w:szCs w:val="31"/>
        </w:rPr>
        <w:t>O</w:t>
      </w:r>
      <w:r>
        <w:rPr>
          <w:rFonts w:ascii="仿宋" w:hAnsi="仿宋" w:eastAsia="仿宋" w:cs="仿宋"/>
          <w:spacing w:val="-47"/>
          <w:sz w:val="31"/>
          <w:szCs w:val="31"/>
        </w:rPr>
        <w:t xml:space="preserve"> </w:t>
      </w:r>
      <w:r>
        <w:rPr>
          <w:rFonts w:ascii="仿宋" w:hAnsi="仿宋" w:eastAsia="仿宋" w:cs="仿宋"/>
          <w:spacing w:val="15"/>
          <w:sz w:val="31"/>
          <w:szCs w:val="31"/>
        </w:rPr>
        <w:t>资源量</w:t>
      </w:r>
      <w:r>
        <w:rPr>
          <w:rFonts w:ascii="仿宋" w:hAnsi="仿宋" w:eastAsia="仿宋" w:cs="仿宋"/>
          <w:spacing w:val="-6"/>
          <w:sz w:val="31"/>
          <w:szCs w:val="31"/>
        </w:rPr>
        <w:t>140.04</w:t>
      </w:r>
      <w:r>
        <w:rPr>
          <w:rFonts w:ascii="仿宋" w:hAnsi="仿宋" w:eastAsia="仿宋" w:cs="仿宋"/>
          <w:spacing w:val="-55"/>
          <w:sz w:val="31"/>
          <w:szCs w:val="31"/>
        </w:rPr>
        <w:t xml:space="preserve"> </w:t>
      </w:r>
      <w:r>
        <w:rPr>
          <w:rFonts w:ascii="仿宋" w:hAnsi="仿宋" w:eastAsia="仿宋" w:cs="仿宋"/>
          <w:spacing w:val="-6"/>
          <w:sz w:val="31"/>
          <w:szCs w:val="31"/>
        </w:rPr>
        <w:t>万吨，共伴生有铍、铌、钽等有益元素，经济价值高、</w:t>
      </w:r>
      <w:r>
        <w:rPr>
          <w:rFonts w:ascii="仿宋" w:hAnsi="仿宋" w:eastAsia="仿宋" w:cs="仿宋"/>
          <w:spacing w:val="9"/>
          <w:sz w:val="31"/>
          <w:szCs w:val="31"/>
        </w:rPr>
        <w:t>综合利用潜力大，主要集中在马尔康市、金川县和</w:t>
      </w:r>
      <w:r>
        <w:rPr>
          <w:rFonts w:ascii="仿宋" w:hAnsi="仿宋" w:eastAsia="仿宋" w:cs="仿宋"/>
          <w:spacing w:val="8"/>
          <w:sz w:val="31"/>
          <w:szCs w:val="31"/>
        </w:rPr>
        <w:t>壤塘县。</w:t>
      </w:r>
      <w:r>
        <w:rPr>
          <w:rFonts w:ascii="仿宋" w:hAnsi="仿宋" w:eastAsia="仿宋" w:cs="仿宋"/>
          <w:spacing w:val="7"/>
          <w:sz w:val="31"/>
          <w:szCs w:val="31"/>
        </w:rPr>
        <w:t>已建</w:t>
      </w:r>
      <w:r>
        <w:rPr>
          <w:rFonts w:ascii="仿宋" w:hAnsi="仿宋" w:eastAsia="仿宋" w:cs="仿宋"/>
          <w:spacing w:val="-48"/>
          <w:sz w:val="31"/>
          <w:szCs w:val="31"/>
        </w:rPr>
        <w:t xml:space="preserve"> </w:t>
      </w:r>
      <w:r>
        <w:rPr>
          <w:rFonts w:ascii="仿宋" w:hAnsi="仿宋" w:eastAsia="仿宋" w:cs="仿宋"/>
          <w:spacing w:val="7"/>
          <w:sz w:val="31"/>
          <w:szCs w:val="31"/>
        </w:rPr>
        <w:t>2</w:t>
      </w:r>
      <w:r>
        <w:rPr>
          <w:rFonts w:ascii="仿宋" w:hAnsi="仿宋" w:eastAsia="仿宋" w:cs="仿宋"/>
          <w:spacing w:val="-71"/>
          <w:sz w:val="31"/>
          <w:szCs w:val="31"/>
        </w:rPr>
        <w:t xml:space="preserve"> </w:t>
      </w:r>
      <w:r>
        <w:rPr>
          <w:rFonts w:ascii="仿宋" w:hAnsi="仿宋" w:eastAsia="仿宋" w:cs="仿宋"/>
          <w:spacing w:val="7"/>
          <w:sz w:val="31"/>
          <w:szCs w:val="31"/>
        </w:rPr>
        <w:t>座大中型规模矿山，是助推形成以锂资源开发</w:t>
      </w:r>
      <w:r>
        <w:rPr>
          <w:rFonts w:ascii="仿宋" w:hAnsi="仿宋" w:eastAsia="仿宋" w:cs="仿宋"/>
          <w:spacing w:val="6"/>
          <w:sz w:val="31"/>
          <w:szCs w:val="31"/>
        </w:rPr>
        <w:t>为代表</w:t>
      </w:r>
      <w:r>
        <w:rPr>
          <w:rFonts w:ascii="仿宋" w:hAnsi="仿宋" w:eastAsia="仿宋" w:cs="仿宋"/>
          <w:spacing w:val="7"/>
          <w:sz w:val="31"/>
          <w:szCs w:val="31"/>
        </w:rPr>
        <w:t>的稀有金属勘查开发利用产业链的资源保障。</w:t>
      </w:r>
    </w:p>
    <w:p w14:paraId="07AFC76E">
      <w:pPr>
        <w:pStyle w:val="2"/>
        <w:spacing w:before="1" w:line="306" w:lineRule="auto"/>
        <w:ind w:left="31" w:right="16" w:firstLine="633"/>
        <w:jc w:val="both"/>
        <w:rPr>
          <w:rFonts w:ascii="仿宋" w:hAnsi="仿宋" w:eastAsia="仿宋" w:cs="仿宋"/>
          <w:sz w:val="31"/>
          <w:szCs w:val="31"/>
        </w:rPr>
      </w:pPr>
      <w:r>
        <w:rPr>
          <w:rFonts w:ascii="微软雅黑" w:hAnsi="微软雅黑" w:eastAsia="微软雅黑" w:cs="微软雅黑"/>
          <w:spacing w:val="2"/>
          <w:sz w:val="31"/>
          <w:szCs w:val="31"/>
        </w:rPr>
        <w:t>金矿资源储备保障程度高</w:t>
      </w:r>
      <w:r>
        <w:rPr>
          <w:rFonts w:ascii="微软雅黑" w:hAnsi="微软雅黑" w:eastAsia="微软雅黑" w:cs="微软雅黑"/>
          <w:spacing w:val="-35"/>
          <w:sz w:val="31"/>
          <w:szCs w:val="31"/>
        </w:rPr>
        <w:t xml:space="preserve"> </w:t>
      </w:r>
      <w:r>
        <w:rPr>
          <w:spacing w:val="2"/>
          <w:sz w:val="31"/>
          <w:szCs w:val="31"/>
        </w:rPr>
        <w:t>,</w:t>
      </w:r>
      <w:r>
        <w:rPr>
          <w:spacing w:val="29"/>
          <w:sz w:val="31"/>
          <w:szCs w:val="31"/>
        </w:rPr>
        <w:t xml:space="preserve">  </w:t>
      </w:r>
      <w:r>
        <w:rPr>
          <w:rFonts w:ascii="微软雅黑" w:hAnsi="微软雅黑" w:eastAsia="微软雅黑" w:cs="微软雅黑"/>
          <w:spacing w:val="2"/>
          <w:sz w:val="31"/>
          <w:szCs w:val="31"/>
        </w:rPr>
        <w:t>分布广</w:t>
      </w:r>
      <w:r>
        <w:rPr>
          <w:rFonts w:ascii="微软雅黑" w:hAnsi="微软雅黑" w:eastAsia="微软雅黑" w:cs="微软雅黑"/>
          <w:spacing w:val="-29"/>
          <w:sz w:val="31"/>
          <w:szCs w:val="31"/>
        </w:rPr>
        <w:t xml:space="preserve"> </w:t>
      </w:r>
      <w:r>
        <w:rPr>
          <w:rFonts w:ascii="微软雅黑" w:hAnsi="微软雅黑" w:eastAsia="微软雅黑" w:cs="微软雅黑"/>
          <w:spacing w:val="2"/>
          <w:sz w:val="31"/>
          <w:szCs w:val="31"/>
        </w:rPr>
        <w:t>。</w:t>
      </w:r>
      <w:r>
        <w:rPr>
          <w:rFonts w:ascii="微软雅黑" w:hAnsi="微软雅黑" w:eastAsia="微软雅黑" w:cs="微软雅黑"/>
          <w:spacing w:val="-56"/>
          <w:sz w:val="31"/>
          <w:szCs w:val="31"/>
        </w:rPr>
        <w:t xml:space="preserve"> </w:t>
      </w:r>
      <w:r>
        <w:rPr>
          <w:rFonts w:ascii="仿宋" w:hAnsi="仿宋" w:eastAsia="仿宋" w:cs="仿宋"/>
          <w:spacing w:val="2"/>
          <w:sz w:val="31"/>
          <w:szCs w:val="31"/>
        </w:rPr>
        <w:t>阿坝州查明金矿矿</w:t>
      </w:r>
      <w:r>
        <w:rPr>
          <w:rFonts w:ascii="仿宋" w:hAnsi="仿宋" w:eastAsia="仿宋" w:cs="仿宋"/>
          <w:spacing w:val="3"/>
          <w:sz w:val="31"/>
          <w:szCs w:val="31"/>
        </w:rPr>
        <w:t>石资源量</w:t>
      </w:r>
      <w:r>
        <w:rPr>
          <w:rFonts w:ascii="仿宋" w:hAnsi="仿宋" w:eastAsia="仿宋" w:cs="仿宋"/>
          <w:spacing w:val="-47"/>
          <w:sz w:val="31"/>
          <w:szCs w:val="31"/>
        </w:rPr>
        <w:t xml:space="preserve"> </w:t>
      </w:r>
      <w:r>
        <w:rPr>
          <w:rFonts w:ascii="仿宋" w:hAnsi="仿宋" w:eastAsia="仿宋" w:cs="仿宋"/>
          <w:spacing w:val="3"/>
          <w:sz w:val="31"/>
          <w:szCs w:val="31"/>
        </w:rPr>
        <w:t>4447.5</w:t>
      </w:r>
      <w:r>
        <w:rPr>
          <w:rFonts w:ascii="仿宋" w:hAnsi="仿宋" w:eastAsia="仿宋" w:cs="仿宋"/>
          <w:spacing w:val="-43"/>
          <w:sz w:val="31"/>
          <w:szCs w:val="31"/>
        </w:rPr>
        <w:t xml:space="preserve"> </w:t>
      </w:r>
      <w:r>
        <w:rPr>
          <w:rFonts w:ascii="仿宋" w:hAnsi="仿宋" w:eastAsia="仿宋" w:cs="仿宋"/>
          <w:spacing w:val="3"/>
          <w:sz w:val="31"/>
          <w:szCs w:val="31"/>
        </w:rPr>
        <w:t>万吨，金金属资源量</w:t>
      </w:r>
      <w:r>
        <w:rPr>
          <w:rFonts w:ascii="仿宋" w:hAnsi="仿宋" w:eastAsia="仿宋" w:cs="仿宋"/>
          <w:spacing w:val="-41"/>
          <w:sz w:val="31"/>
          <w:szCs w:val="31"/>
        </w:rPr>
        <w:t xml:space="preserve"> </w:t>
      </w:r>
      <w:r>
        <w:rPr>
          <w:rFonts w:ascii="仿宋" w:hAnsi="仿宋" w:eastAsia="仿宋" w:cs="仿宋"/>
          <w:spacing w:val="3"/>
          <w:sz w:val="31"/>
          <w:szCs w:val="31"/>
        </w:rPr>
        <w:t>130.09</w:t>
      </w:r>
      <w:r>
        <w:rPr>
          <w:rFonts w:ascii="仿宋" w:hAnsi="仿宋" w:eastAsia="仿宋" w:cs="仿宋"/>
          <w:spacing w:val="-49"/>
          <w:sz w:val="31"/>
          <w:szCs w:val="31"/>
        </w:rPr>
        <w:t xml:space="preserve"> </w:t>
      </w:r>
      <w:r>
        <w:rPr>
          <w:rFonts w:ascii="仿宋" w:hAnsi="仿宋" w:eastAsia="仿宋" w:cs="仿宋"/>
          <w:spacing w:val="3"/>
          <w:sz w:val="31"/>
          <w:szCs w:val="31"/>
        </w:rPr>
        <w:t>吨，分布于九</w:t>
      </w:r>
      <w:r>
        <w:rPr>
          <w:rFonts w:ascii="仿宋" w:hAnsi="仿宋" w:eastAsia="仿宋" w:cs="仿宋"/>
          <w:spacing w:val="8"/>
          <w:sz w:val="31"/>
          <w:szCs w:val="31"/>
        </w:rPr>
        <w:t>寨沟县、若尔盖县、松潘县、壤塘县、小金县等，其余各县</w:t>
      </w:r>
      <w:r>
        <w:rPr>
          <w:rFonts w:ascii="仿宋" w:hAnsi="仿宋" w:eastAsia="仿宋" w:cs="仿宋"/>
          <w:spacing w:val="5"/>
          <w:sz w:val="31"/>
          <w:szCs w:val="31"/>
        </w:rPr>
        <w:t>均有较好潜力。</w:t>
      </w:r>
    </w:p>
    <w:p w14:paraId="28F9F025">
      <w:pPr>
        <w:pStyle w:val="2"/>
        <w:spacing w:line="321" w:lineRule="auto"/>
        <w:ind w:left="26" w:right="16" w:firstLine="552"/>
        <w:rPr>
          <w:rFonts w:ascii="仿宋" w:hAnsi="仿宋" w:eastAsia="仿宋" w:cs="仿宋"/>
          <w:sz w:val="31"/>
          <w:szCs w:val="31"/>
        </w:rPr>
      </w:pPr>
      <w:r>
        <w:rPr>
          <w:rFonts w:ascii="微软雅黑" w:hAnsi="微软雅黑" w:eastAsia="微软雅黑" w:cs="微软雅黑"/>
          <w:spacing w:val="5"/>
          <w:sz w:val="31"/>
          <w:szCs w:val="31"/>
        </w:rPr>
        <w:t>地热资源</w:t>
      </w:r>
      <w:r>
        <w:rPr>
          <w:position w:val="-3"/>
          <w:sz w:val="31"/>
          <w:szCs w:val="31"/>
        </w:rPr>
        <w:drawing>
          <wp:inline distT="0" distB="0" distL="0" distR="0">
            <wp:extent cx="211455" cy="20637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65"/>
                    <a:stretch>
                      <a:fillRect/>
                    </a:stretch>
                  </pic:blipFill>
                  <pic:spPr>
                    <a:xfrm>
                      <a:off x="0" y="0"/>
                      <a:ext cx="212060" cy="206954"/>
                    </a:xfrm>
                    <a:prstGeom prst="rect">
                      <a:avLst/>
                    </a:prstGeom>
                  </pic:spPr>
                </pic:pic>
              </a:graphicData>
            </a:graphic>
          </wp:inline>
        </w:drawing>
      </w:r>
      <w:r>
        <w:rPr>
          <w:rFonts w:ascii="微软雅黑" w:hAnsi="微软雅黑" w:eastAsia="微软雅黑" w:cs="微软雅黑"/>
          <w:spacing w:val="5"/>
          <w:sz w:val="31"/>
          <w:szCs w:val="31"/>
        </w:rPr>
        <w:t>赋较好</w:t>
      </w:r>
      <w:r>
        <w:rPr>
          <w:rFonts w:ascii="微软雅黑" w:hAnsi="微软雅黑" w:eastAsia="微软雅黑" w:cs="微软雅黑"/>
          <w:spacing w:val="-43"/>
          <w:sz w:val="31"/>
          <w:szCs w:val="31"/>
        </w:rPr>
        <w:t xml:space="preserve"> </w:t>
      </w:r>
      <w:r>
        <w:rPr>
          <w:spacing w:val="5"/>
          <w:sz w:val="31"/>
          <w:szCs w:val="31"/>
        </w:rPr>
        <w:t>,</w:t>
      </w:r>
      <w:r>
        <w:rPr>
          <w:spacing w:val="38"/>
          <w:sz w:val="31"/>
          <w:szCs w:val="31"/>
        </w:rPr>
        <w:t xml:space="preserve">  </w:t>
      </w:r>
      <w:r>
        <w:rPr>
          <w:rFonts w:ascii="微软雅黑" w:hAnsi="微软雅黑" w:eastAsia="微软雅黑" w:cs="微软雅黑"/>
          <w:spacing w:val="5"/>
          <w:sz w:val="31"/>
          <w:szCs w:val="31"/>
        </w:rPr>
        <w:t>资源远景可观</w:t>
      </w:r>
      <w:r>
        <w:rPr>
          <w:rFonts w:ascii="微软雅黑" w:hAnsi="微软雅黑" w:eastAsia="微软雅黑" w:cs="微软雅黑"/>
          <w:spacing w:val="-49"/>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pacing w:val="-51"/>
          <w:sz w:val="31"/>
          <w:szCs w:val="31"/>
        </w:rPr>
        <w:t xml:space="preserve"> </w:t>
      </w:r>
      <w:r>
        <w:rPr>
          <w:rFonts w:ascii="仿宋" w:hAnsi="仿宋" w:eastAsia="仿宋" w:cs="仿宋"/>
          <w:spacing w:val="5"/>
          <w:sz w:val="31"/>
          <w:szCs w:val="31"/>
        </w:rPr>
        <w:t>阿坝州地热资源利</w:t>
      </w:r>
      <w:r>
        <w:rPr>
          <w:rFonts w:ascii="仿宋" w:hAnsi="仿宋" w:eastAsia="仿宋" w:cs="仿宋"/>
          <w:spacing w:val="6"/>
          <w:sz w:val="31"/>
          <w:szCs w:val="31"/>
        </w:rPr>
        <w:t>用以旅游为主，开发程度偏低，前期地热调查的</w:t>
      </w:r>
      <w:r>
        <w:rPr>
          <w:rFonts w:ascii="仿宋" w:hAnsi="仿宋" w:eastAsia="仿宋" w:cs="仿宋"/>
          <w:spacing w:val="-34"/>
          <w:sz w:val="31"/>
          <w:szCs w:val="31"/>
        </w:rPr>
        <w:t xml:space="preserve"> </w:t>
      </w:r>
      <w:r>
        <w:rPr>
          <w:rFonts w:ascii="仿宋" w:hAnsi="仿宋" w:eastAsia="仿宋" w:cs="仿宋"/>
          <w:spacing w:val="6"/>
          <w:sz w:val="31"/>
          <w:szCs w:val="31"/>
        </w:rPr>
        <w:t>9</w:t>
      </w:r>
      <w:r>
        <w:rPr>
          <w:rFonts w:ascii="仿宋" w:hAnsi="仿宋" w:eastAsia="仿宋" w:cs="仿宋"/>
          <w:spacing w:val="-49"/>
          <w:sz w:val="31"/>
          <w:szCs w:val="31"/>
        </w:rPr>
        <w:t xml:space="preserve"> </w:t>
      </w:r>
      <w:r>
        <w:rPr>
          <w:rFonts w:ascii="仿宋" w:hAnsi="仿宋" w:eastAsia="仿宋" w:cs="仿宋"/>
          <w:spacing w:val="6"/>
          <w:sz w:val="31"/>
          <w:szCs w:val="31"/>
        </w:rPr>
        <w:t>处靶区和</w:t>
      </w:r>
    </w:p>
    <w:p w14:paraId="13204FCD">
      <w:pPr>
        <w:spacing w:line="321" w:lineRule="auto"/>
        <w:rPr>
          <w:rFonts w:ascii="仿宋" w:hAnsi="仿宋" w:eastAsia="仿宋" w:cs="仿宋"/>
          <w:sz w:val="31"/>
          <w:szCs w:val="31"/>
        </w:rPr>
        <w:sectPr>
          <w:footerReference r:id="rId9" w:type="default"/>
          <w:pgSz w:w="11904" w:h="16835"/>
          <w:pgMar w:top="1430" w:right="1785" w:bottom="1289" w:left="1785" w:header="0" w:footer="923" w:gutter="0"/>
          <w:cols w:space="720" w:num="1"/>
        </w:sectPr>
      </w:pPr>
    </w:p>
    <w:p w14:paraId="0AE3D669">
      <w:pPr>
        <w:spacing w:before="136" w:line="220" w:lineRule="auto"/>
        <w:ind w:left="535"/>
        <w:rPr>
          <w:rFonts w:ascii="仿宋" w:hAnsi="仿宋" w:eastAsia="仿宋" w:cs="仿宋"/>
          <w:sz w:val="31"/>
          <w:szCs w:val="31"/>
        </w:rPr>
      </w:pPr>
      <w:r>
        <w:rPr>
          <w:rFonts w:ascii="仿宋" w:hAnsi="仿宋" w:eastAsia="仿宋" w:cs="仿宋"/>
          <w:spacing w:val="8"/>
          <w:sz w:val="31"/>
          <w:szCs w:val="31"/>
        </w:rPr>
        <w:t>各类旅游风景区配套区位优势明显。</w:t>
      </w:r>
    </w:p>
    <w:p w14:paraId="4E9A1135">
      <w:pPr>
        <w:pStyle w:val="2"/>
        <w:spacing w:line="269" w:lineRule="auto"/>
      </w:pPr>
    </w:p>
    <w:p w14:paraId="0183BA6C">
      <w:pPr>
        <w:spacing w:before="101" w:line="225" w:lineRule="auto"/>
        <w:ind w:left="1103"/>
        <w:rPr>
          <w:rFonts w:ascii="黑体" w:hAnsi="黑体" w:eastAsia="黑体" w:cs="黑体"/>
          <w:sz w:val="31"/>
          <w:szCs w:val="31"/>
        </w:rPr>
      </w:pPr>
      <w:r>
        <w:rPr>
          <w:rFonts w:ascii="黑体" w:hAnsi="黑体" w:eastAsia="黑体" w:cs="黑体"/>
          <w:spacing w:val="9"/>
          <w:sz w:val="31"/>
          <w:szCs w:val="31"/>
        </w:rPr>
        <w:t>二、矿产资源勘查开发现状</w:t>
      </w:r>
    </w:p>
    <w:p w14:paraId="1226017E">
      <w:pPr>
        <w:spacing w:before="244" w:line="372" w:lineRule="auto"/>
        <w:ind w:left="535" w:right="605" w:firstLine="663"/>
        <w:jc w:val="both"/>
        <w:rPr>
          <w:rFonts w:ascii="仿宋" w:hAnsi="仿宋" w:eastAsia="仿宋" w:cs="仿宋"/>
          <w:sz w:val="31"/>
          <w:szCs w:val="31"/>
        </w:rPr>
      </w:pPr>
      <w:r>
        <w:rPr>
          <w:rFonts w:ascii="仿宋" w:hAnsi="仿宋" w:eastAsia="仿宋" w:cs="仿宋"/>
          <w:spacing w:val="7"/>
          <w:sz w:val="31"/>
          <w:szCs w:val="31"/>
        </w:rPr>
        <w:t>“十三五”期间，各级财政和社会资金对锂矿、金矿、</w:t>
      </w:r>
      <w:r>
        <w:rPr>
          <w:rFonts w:ascii="仿宋" w:hAnsi="仿宋" w:eastAsia="仿宋" w:cs="仿宋"/>
          <w:spacing w:val="9"/>
          <w:sz w:val="31"/>
          <w:szCs w:val="31"/>
        </w:rPr>
        <w:t>铁矿、锰矿、饰面用花岗岩、饰面用大理岩、硅</w:t>
      </w:r>
      <w:r>
        <w:rPr>
          <w:rFonts w:ascii="仿宋" w:hAnsi="仿宋" w:eastAsia="仿宋" w:cs="仿宋"/>
          <w:spacing w:val="8"/>
          <w:sz w:val="31"/>
          <w:szCs w:val="31"/>
        </w:rPr>
        <w:t>灰石、水泥</w:t>
      </w:r>
      <w:r>
        <w:rPr>
          <w:rFonts w:ascii="仿宋" w:hAnsi="仿宋" w:eastAsia="仿宋" w:cs="仿宋"/>
          <w:spacing w:val="9"/>
          <w:sz w:val="31"/>
          <w:szCs w:val="31"/>
        </w:rPr>
        <w:t>用灰岩、石榴子石、地热及饮用矿泉水等矿产开</w:t>
      </w:r>
      <w:r>
        <w:rPr>
          <w:rFonts w:ascii="仿宋" w:hAnsi="仿宋" w:eastAsia="仿宋" w:cs="仿宋"/>
          <w:spacing w:val="8"/>
          <w:sz w:val="31"/>
          <w:szCs w:val="31"/>
        </w:rPr>
        <w:t>展了不同程</w:t>
      </w:r>
      <w:r>
        <w:rPr>
          <w:rFonts w:ascii="仿宋" w:hAnsi="仿宋" w:eastAsia="仿宋" w:cs="仿宋"/>
          <w:spacing w:val="6"/>
          <w:sz w:val="31"/>
          <w:szCs w:val="31"/>
        </w:rPr>
        <w:t>度的勘查工作。</w:t>
      </w:r>
    </w:p>
    <w:p w14:paraId="6BBE275D">
      <w:pPr>
        <w:spacing w:line="232" w:lineRule="exact"/>
      </w:pPr>
    </w:p>
    <w:tbl>
      <w:tblPr>
        <w:tblStyle w:val="5"/>
        <w:tblW w:w="9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7"/>
        <w:gridCol w:w="699"/>
        <w:gridCol w:w="20"/>
        <w:gridCol w:w="672"/>
        <w:gridCol w:w="1400"/>
        <w:gridCol w:w="1391"/>
        <w:gridCol w:w="1559"/>
        <w:gridCol w:w="1237"/>
        <w:gridCol w:w="1392"/>
      </w:tblGrid>
      <w:tr w14:paraId="71EA1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57" w:type="dxa"/>
            <w:tcBorders>
              <w:right w:val="single" w:color="BCE1C0" w:sz="4" w:space="0"/>
            </w:tcBorders>
            <w:shd w:val="clear" w:color="auto" w:fill="BCE1C0"/>
            <w:vAlign w:val="top"/>
          </w:tcPr>
          <w:p w14:paraId="01C3AB94">
            <w:pPr>
              <w:rPr>
                <w:rFonts w:ascii="Arial"/>
                <w:sz w:val="21"/>
              </w:rPr>
            </w:pPr>
          </w:p>
        </w:tc>
        <w:tc>
          <w:tcPr>
            <w:tcW w:w="699" w:type="dxa"/>
            <w:tcBorders>
              <w:left w:val="single" w:color="BCE1C0" w:sz="4" w:space="0"/>
              <w:right w:val="single" w:color="BCE1C0" w:sz="4" w:space="0"/>
            </w:tcBorders>
            <w:shd w:val="clear" w:color="auto" w:fill="BCE1C0"/>
            <w:vAlign w:val="top"/>
          </w:tcPr>
          <w:p w14:paraId="6034F578">
            <w:pPr>
              <w:spacing w:before="115" w:line="226" w:lineRule="auto"/>
              <w:ind w:left="355"/>
              <w:rPr>
                <w:rFonts w:ascii="黑体" w:hAnsi="黑体" w:eastAsia="黑体" w:cs="黑体"/>
                <w:sz w:val="28"/>
                <w:szCs w:val="28"/>
              </w:rPr>
            </w:pPr>
            <w:r>
              <w:rPr>
                <w:rFonts w:ascii="黑体" w:hAnsi="黑体" w:eastAsia="黑体" w:cs="黑体"/>
                <w:sz w:val="28"/>
                <w:szCs w:val="28"/>
              </w:rPr>
              <w:t>专</w:t>
            </w:r>
          </w:p>
        </w:tc>
        <w:tc>
          <w:tcPr>
            <w:tcW w:w="692" w:type="dxa"/>
            <w:gridSpan w:val="2"/>
            <w:tcBorders>
              <w:left w:val="single" w:color="BCE1C0" w:sz="4" w:space="0"/>
              <w:right w:val="single" w:color="BCE1C0" w:sz="4" w:space="0"/>
            </w:tcBorders>
            <w:shd w:val="clear" w:color="auto" w:fill="BCE1C0"/>
            <w:vAlign w:val="top"/>
          </w:tcPr>
          <w:p w14:paraId="19CEAB98">
            <w:pPr>
              <w:spacing w:before="115" w:line="224" w:lineRule="auto"/>
              <w:rPr>
                <w:rFonts w:ascii="黑体" w:hAnsi="黑体" w:eastAsia="黑体" w:cs="黑体"/>
                <w:sz w:val="28"/>
                <w:szCs w:val="28"/>
              </w:rPr>
            </w:pPr>
            <w:r>
              <w:rPr>
                <w:rFonts w:ascii="黑体" w:hAnsi="黑体" w:eastAsia="黑体" w:cs="黑体"/>
                <w:spacing w:val="15"/>
                <w:sz w:val="28"/>
                <w:szCs w:val="28"/>
              </w:rPr>
              <w:t>栏1</w:t>
            </w:r>
          </w:p>
        </w:tc>
        <w:tc>
          <w:tcPr>
            <w:tcW w:w="1400" w:type="dxa"/>
            <w:tcBorders>
              <w:left w:val="single" w:color="BCE1C0" w:sz="4" w:space="0"/>
              <w:right w:val="single" w:color="BCE1C0" w:sz="4" w:space="0"/>
            </w:tcBorders>
            <w:shd w:val="clear" w:color="auto" w:fill="BCE1C0"/>
            <w:vAlign w:val="top"/>
          </w:tcPr>
          <w:p w14:paraId="61BDC0ED">
            <w:pPr>
              <w:spacing w:before="116" w:line="224" w:lineRule="auto"/>
              <w:jc w:val="right"/>
              <w:rPr>
                <w:rFonts w:ascii="黑体" w:hAnsi="黑体" w:eastAsia="黑体" w:cs="黑体"/>
                <w:sz w:val="28"/>
                <w:szCs w:val="28"/>
              </w:rPr>
            </w:pPr>
            <w:r>
              <w:rPr>
                <w:rFonts w:ascii="黑体" w:hAnsi="黑体" w:eastAsia="黑体" w:cs="黑体"/>
                <w:spacing w:val="-7"/>
                <w:sz w:val="28"/>
                <w:szCs w:val="28"/>
              </w:rPr>
              <w:t>阿坝州主要</w:t>
            </w:r>
          </w:p>
        </w:tc>
        <w:tc>
          <w:tcPr>
            <w:tcW w:w="1391" w:type="dxa"/>
            <w:tcBorders>
              <w:left w:val="single" w:color="BCE1C0" w:sz="4" w:space="0"/>
              <w:right w:val="single" w:color="BCE1C0" w:sz="4" w:space="0"/>
            </w:tcBorders>
            <w:shd w:val="clear" w:color="auto" w:fill="BCE1C0"/>
            <w:vAlign w:val="top"/>
          </w:tcPr>
          <w:p w14:paraId="67B10CEB">
            <w:pPr>
              <w:spacing w:before="116" w:line="223" w:lineRule="auto"/>
              <w:jc w:val="right"/>
              <w:rPr>
                <w:rFonts w:ascii="黑体" w:hAnsi="黑体" w:eastAsia="黑体" w:cs="黑体"/>
                <w:sz w:val="28"/>
                <w:szCs w:val="28"/>
              </w:rPr>
            </w:pPr>
            <w:r>
              <w:rPr>
                <w:rFonts w:ascii="黑体" w:hAnsi="黑体" w:eastAsia="黑体" w:cs="黑体"/>
                <w:spacing w:val="-6"/>
                <w:sz w:val="28"/>
                <w:szCs w:val="28"/>
              </w:rPr>
              <w:t>矿产资源储</w:t>
            </w:r>
          </w:p>
        </w:tc>
        <w:tc>
          <w:tcPr>
            <w:tcW w:w="1559" w:type="dxa"/>
            <w:tcBorders>
              <w:left w:val="single" w:color="BCE1C0" w:sz="4" w:space="0"/>
              <w:right w:val="single" w:color="BCE1C0" w:sz="4" w:space="0"/>
            </w:tcBorders>
            <w:shd w:val="clear" w:color="auto" w:fill="BCE1C0"/>
            <w:vAlign w:val="top"/>
          </w:tcPr>
          <w:p w14:paraId="7EF75960">
            <w:pPr>
              <w:spacing w:before="116" w:line="223" w:lineRule="auto"/>
              <w:ind w:left="19"/>
              <w:rPr>
                <w:rFonts w:ascii="黑体" w:hAnsi="黑体" w:eastAsia="黑体" w:cs="黑体"/>
                <w:sz w:val="28"/>
                <w:szCs w:val="28"/>
              </w:rPr>
            </w:pPr>
            <w:r>
              <w:rPr>
                <w:rFonts w:ascii="黑体" w:hAnsi="黑体" w:eastAsia="黑体" w:cs="黑体"/>
                <w:spacing w:val="-2"/>
                <w:sz w:val="28"/>
                <w:szCs w:val="28"/>
              </w:rPr>
              <w:t>量及开发利</w:t>
            </w:r>
          </w:p>
        </w:tc>
        <w:tc>
          <w:tcPr>
            <w:tcW w:w="1237" w:type="dxa"/>
            <w:tcBorders>
              <w:left w:val="single" w:color="BCE1C0" w:sz="4" w:space="0"/>
              <w:right w:val="single" w:color="BCE1C0" w:sz="10" w:space="0"/>
            </w:tcBorders>
            <w:shd w:val="clear" w:color="auto" w:fill="BCE1C0"/>
            <w:vAlign w:val="top"/>
          </w:tcPr>
          <w:p w14:paraId="4435F473">
            <w:pPr>
              <w:spacing w:before="116" w:line="223" w:lineRule="auto"/>
              <w:jc w:val="right"/>
              <w:rPr>
                <w:rFonts w:ascii="黑体" w:hAnsi="黑体" w:eastAsia="黑体" w:cs="黑体"/>
                <w:sz w:val="28"/>
                <w:szCs w:val="28"/>
              </w:rPr>
            </w:pPr>
            <w:r>
              <w:rPr>
                <w:rFonts w:ascii="黑体" w:hAnsi="黑体" w:eastAsia="黑体" w:cs="黑体"/>
                <w:spacing w:val="-23"/>
                <w:w w:val="94"/>
                <w:sz w:val="28"/>
                <w:szCs w:val="28"/>
              </w:rPr>
              <w:t>用情</w:t>
            </w:r>
            <w:r>
              <w:rPr>
                <w:rFonts w:ascii="黑体" w:hAnsi="黑体" w:eastAsia="黑体" w:cs="黑体"/>
                <w:spacing w:val="-22"/>
                <w:w w:val="94"/>
                <w:sz w:val="28"/>
                <w:szCs w:val="28"/>
              </w:rPr>
              <w:t>况统</w:t>
            </w:r>
            <w:r>
              <w:rPr>
                <w:rFonts w:ascii="黑体" w:hAnsi="黑体" w:eastAsia="黑体" w:cs="黑体"/>
                <w:spacing w:val="-15"/>
                <w:w w:val="94"/>
                <w:sz w:val="28"/>
                <w:szCs w:val="28"/>
              </w:rPr>
              <w:t>计</w:t>
            </w:r>
          </w:p>
        </w:tc>
        <w:tc>
          <w:tcPr>
            <w:tcW w:w="1392" w:type="dxa"/>
            <w:tcBorders>
              <w:left w:val="single" w:color="BCE1C0" w:sz="10" w:space="0"/>
            </w:tcBorders>
            <w:shd w:val="clear" w:color="auto" w:fill="BCE1C0"/>
            <w:vAlign w:val="top"/>
          </w:tcPr>
          <w:p w14:paraId="23DDD4F6">
            <w:pPr>
              <w:rPr>
                <w:rFonts w:ascii="Arial"/>
                <w:sz w:val="21"/>
              </w:rPr>
            </w:pPr>
          </w:p>
        </w:tc>
      </w:tr>
      <w:tr w14:paraId="41B0E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057" w:type="dxa"/>
            <w:vAlign w:val="top"/>
          </w:tcPr>
          <w:p w14:paraId="69B2D24F">
            <w:pPr>
              <w:spacing w:before="166" w:line="228" w:lineRule="auto"/>
              <w:ind w:left="146"/>
              <w:rPr>
                <w:rFonts w:ascii="黑体" w:hAnsi="黑体" w:eastAsia="黑体" w:cs="黑体"/>
                <w:sz w:val="19"/>
                <w:szCs w:val="19"/>
              </w:rPr>
            </w:pPr>
            <w:r>
              <w:rPr>
                <w:rFonts w:ascii="黑体" w:hAnsi="黑体" w:eastAsia="黑体" w:cs="黑体"/>
                <w:spacing w:val="7"/>
                <w:sz w:val="19"/>
                <w:szCs w:val="19"/>
              </w:rPr>
              <w:t>矿种名称</w:t>
            </w:r>
          </w:p>
        </w:tc>
        <w:tc>
          <w:tcPr>
            <w:tcW w:w="719" w:type="dxa"/>
            <w:gridSpan w:val="2"/>
            <w:vAlign w:val="top"/>
          </w:tcPr>
          <w:p w14:paraId="6F8A7634">
            <w:pPr>
              <w:spacing w:before="36" w:line="250" w:lineRule="auto"/>
              <w:ind w:left="272" w:right="152" w:hanging="103"/>
              <w:rPr>
                <w:rFonts w:ascii="黑体" w:hAnsi="黑体" w:eastAsia="黑体" w:cs="黑体"/>
                <w:sz w:val="19"/>
                <w:szCs w:val="19"/>
              </w:rPr>
            </w:pPr>
            <w:r>
              <w:rPr>
                <w:rFonts w:ascii="黑体" w:hAnsi="黑体" w:eastAsia="黑体" w:cs="黑体"/>
                <w:spacing w:val="6"/>
                <w:sz w:val="19"/>
                <w:szCs w:val="19"/>
              </w:rPr>
              <w:t>矿区</w:t>
            </w:r>
            <w:r>
              <w:rPr>
                <w:rFonts w:ascii="黑体" w:hAnsi="黑体" w:eastAsia="黑体" w:cs="黑体"/>
                <w:sz w:val="19"/>
                <w:szCs w:val="19"/>
              </w:rPr>
              <w:t>数</w:t>
            </w:r>
          </w:p>
        </w:tc>
        <w:tc>
          <w:tcPr>
            <w:tcW w:w="672" w:type="dxa"/>
            <w:vAlign w:val="top"/>
          </w:tcPr>
          <w:p w14:paraId="17CEDA1B">
            <w:pPr>
              <w:spacing w:before="36" w:line="250" w:lineRule="auto"/>
              <w:ind w:left="249" w:right="128" w:hanging="103"/>
              <w:rPr>
                <w:rFonts w:ascii="黑体" w:hAnsi="黑体" w:eastAsia="黑体" w:cs="黑体"/>
                <w:sz w:val="19"/>
                <w:szCs w:val="19"/>
              </w:rPr>
            </w:pPr>
            <w:r>
              <w:rPr>
                <w:rFonts w:ascii="黑体" w:hAnsi="黑体" w:eastAsia="黑体" w:cs="黑体"/>
                <w:spacing w:val="6"/>
                <w:sz w:val="19"/>
                <w:szCs w:val="19"/>
              </w:rPr>
              <w:t>矿山</w:t>
            </w:r>
            <w:r>
              <w:rPr>
                <w:rFonts w:ascii="黑体" w:hAnsi="黑体" w:eastAsia="黑体" w:cs="黑体"/>
                <w:sz w:val="19"/>
                <w:szCs w:val="19"/>
              </w:rPr>
              <w:t>数</w:t>
            </w:r>
          </w:p>
        </w:tc>
        <w:tc>
          <w:tcPr>
            <w:tcW w:w="1400" w:type="dxa"/>
            <w:vAlign w:val="top"/>
          </w:tcPr>
          <w:p w14:paraId="20FF6B57">
            <w:pPr>
              <w:spacing w:before="36" w:line="250" w:lineRule="auto"/>
              <w:ind w:left="615" w:right="194" w:hanging="402"/>
              <w:rPr>
                <w:rFonts w:ascii="黑体" w:hAnsi="黑体" w:eastAsia="黑体" w:cs="黑体"/>
                <w:sz w:val="19"/>
                <w:szCs w:val="19"/>
              </w:rPr>
            </w:pPr>
            <w:r>
              <w:rPr>
                <w:rFonts w:ascii="黑体" w:hAnsi="黑体" w:eastAsia="黑体" w:cs="黑体"/>
                <w:spacing w:val="7"/>
                <w:sz w:val="19"/>
                <w:szCs w:val="19"/>
              </w:rPr>
              <w:t>保有资源储</w:t>
            </w:r>
            <w:r>
              <w:rPr>
                <w:rFonts w:ascii="黑体" w:hAnsi="黑体" w:eastAsia="黑体" w:cs="黑体"/>
                <w:sz w:val="19"/>
                <w:szCs w:val="19"/>
              </w:rPr>
              <w:t>量</w:t>
            </w:r>
          </w:p>
        </w:tc>
        <w:tc>
          <w:tcPr>
            <w:tcW w:w="1391" w:type="dxa"/>
            <w:vAlign w:val="top"/>
          </w:tcPr>
          <w:p w14:paraId="6B229E97">
            <w:pPr>
              <w:spacing w:before="36" w:line="250" w:lineRule="auto"/>
              <w:ind w:left="412" w:right="183" w:hanging="182"/>
              <w:rPr>
                <w:rFonts w:ascii="黑体" w:hAnsi="黑体" w:eastAsia="黑体" w:cs="黑体"/>
                <w:sz w:val="19"/>
                <w:szCs w:val="19"/>
              </w:rPr>
            </w:pPr>
            <w:r>
              <w:rPr>
                <w:rFonts w:ascii="黑体" w:hAnsi="黑体" w:eastAsia="黑体" w:cs="黑体"/>
                <w:spacing w:val="4"/>
                <w:sz w:val="19"/>
                <w:szCs w:val="19"/>
              </w:rPr>
              <w:t>占用保有资</w:t>
            </w:r>
            <w:r>
              <w:rPr>
                <w:rFonts w:ascii="黑体" w:hAnsi="黑体" w:eastAsia="黑体" w:cs="黑体"/>
                <w:spacing w:val="5"/>
                <w:sz w:val="19"/>
                <w:szCs w:val="19"/>
              </w:rPr>
              <w:t>源储量</w:t>
            </w:r>
          </w:p>
        </w:tc>
        <w:tc>
          <w:tcPr>
            <w:tcW w:w="1559" w:type="dxa"/>
            <w:vAlign w:val="top"/>
          </w:tcPr>
          <w:p w14:paraId="53137088">
            <w:pPr>
              <w:spacing w:before="166" w:line="228" w:lineRule="auto"/>
              <w:ind w:left="198"/>
              <w:rPr>
                <w:rFonts w:ascii="黑体" w:hAnsi="黑体" w:eastAsia="黑体" w:cs="黑体"/>
                <w:sz w:val="19"/>
                <w:szCs w:val="19"/>
              </w:rPr>
            </w:pPr>
            <w:r>
              <w:rPr>
                <w:rFonts w:ascii="黑体" w:hAnsi="黑体" w:eastAsia="黑体" w:cs="黑体"/>
                <w:spacing w:val="7"/>
                <w:sz w:val="19"/>
                <w:szCs w:val="19"/>
              </w:rPr>
              <w:t>设计生产规模</w:t>
            </w:r>
          </w:p>
        </w:tc>
        <w:tc>
          <w:tcPr>
            <w:tcW w:w="1237" w:type="dxa"/>
            <w:vAlign w:val="top"/>
          </w:tcPr>
          <w:p w14:paraId="570C457B">
            <w:pPr>
              <w:spacing w:before="37" w:line="228" w:lineRule="auto"/>
              <w:ind w:left="242"/>
              <w:rPr>
                <w:rFonts w:ascii="黑体" w:hAnsi="黑体" w:eastAsia="黑体" w:cs="黑体"/>
                <w:sz w:val="19"/>
                <w:szCs w:val="19"/>
              </w:rPr>
            </w:pPr>
            <w:r>
              <w:rPr>
                <w:rFonts w:ascii="黑体" w:hAnsi="黑体" w:eastAsia="黑体" w:cs="黑体"/>
                <w:spacing w:val="5"/>
                <w:sz w:val="19"/>
                <w:szCs w:val="19"/>
              </w:rPr>
              <w:t>实际动用</w:t>
            </w:r>
          </w:p>
          <w:p w14:paraId="1C219C6E">
            <w:pPr>
              <w:spacing w:before="23" w:line="230" w:lineRule="auto"/>
              <w:ind w:left="133"/>
              <w:rPr>
                <w:rFonts w:ascii="黑体" w:hAnsi="黑体" w:eastAsia="黑体" w:cs="黑体"/>
                <w:sz w:val="19"/>
                <w:szCs w:val="19"/>
              </w:rPr>
            </w:pPr>
            <w:r>
              <w:rPr>
                <w:rFonts w:ascii="黑体" w:hAnsi="黑体" w:eastAsia="黑体" w:cs="黑体"/>
                <w:sz w:val="19"/>
                <w:szCs w:val="19"/>
              </w:rPr>
              <w:t>（2020</w:t>
            </w:r>
            <w:r>
              <w:rPr>
                <w:rFonts w:ascii="黑体" w:hAnsi="黑体" w:eastAsia="黑体" w:cs="黑体"/>
                <w:spacing w:val="-36"/>
                <w:sz w:val="19"/>
                <w:szCs w:val="19"/>
              </w:rPr>
              <w:t xml:space="preserve"> </w:t>
            </w:r>
            <w:r>
              <w:rPr>
                <w:rFonts w:ascii="黑体" w:hAnsi="黑体" w:eastAsia="黑体" w:cs="黑体"/>
                <w:sz w:val="19"/>
                <w:szCs w:val="19"/>
              </w:rPr>
              <w:t>年）</w:t>
            </w:r>
          </w:p>
        </w:tc>
        <w:tc>
          <w:tcPr>
            <w:tcW w:w="1392" w:type="dxa"/>
            <w:vAlign w:val="top"/>
          </w:tcPr>
          <w:p w14:paraId="5516CF75">
            <w:pPr>
              <w:spacing w:before="166" w:line="228" w:lineRule="auto"/>
              <w:ind w:left="506"/>
              <w:rPr>
                <w:rFonts w:ascii="黑体" w:hAnsi="黑体" w:eastAsia="黑体" w:cs="黑体"/>
                <w:sz w:val="19"/>
                <w:szCs w:val="19"/>
              </w:rPr>
            </w:pPr>
            <w:r>
              <w:rPr>
                <w:rFonts w:ascii="黑体" w:hAnsi="黑体" w:eastAsia="黑体" w:cs="黑体"/>
                <w:spacing w:val="5"/>
                <w:sz w:val="19"/>
                <w:szCs w:val="19"/>
              </w:rPr>
              <w:t>备注</w:t>
            </w:r>
          </w:p>
        </w:tc>
      </w:tr>
      <w:tr w14:paraId="47A5C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28F5EB80">
            <w:pPr>
              <w:pStyle w:val="6"/>
              <w:spacing w:before="143" w:line="233" w:lineRule="auto"/>
              <w:ind w:left="450"/>
            </w:pPr>
            <w:r>
              <w:t>锂</w:t>
            </w:r>
          </w:p>
        </w:tc>
        <w:tc>
          <w:tcPr>
            <w:tcW w:w="719" w:type="dxa"/>
            <w:gridSpan w:val="2"/>
            <w:vAlign w:val="top"/>
          </w:tcPr>
          <w:p w14:paraId="2EDC49DE">
            <w:pPr>
              <w:pStyle w:val="6"/>
              <w:spacing w:before="143" w:line="251" w:lineRule="exact"/>
              <w:ind w:left="284"/>
            </w:pPr>
            <w:r>
              <w:rPr>
                <w:spacing w:val="-6"/>
                <w:position w:val="1"/>
              </w:rPr>
              <w:t>12</w:t>
            </w:r>
          </w:p>
        </w:tc>
        <w:tc>
          <w:tcPr>
            <w:tcW w:w="672" w:type="dxa"/>
            <w:vAlign w:val="top"/>
          </w:tcPr>
          <w:p w14:paraId="5A81BD5C">
            <w:pPr>
              <w:pStyle w:val="6"/>
              <w:spacing w:before="144" w:line="242" w:lineRule="auto"/>
              <w:ind w:left="312"/>
            </w:pPr>
            <w:r>
              <w:t>3</w:t>
            </w:r>
          </w:p>
        </w:tc>
        <w:tc>
          <w:tcPr>
            <w:tcW w:w="1400" w:type="dxa"/>
            <w:vAlign w:val="top"/>
          </w:tcPr>
          <w:p w14:paraId="190A6F0B">
            <w:pPr>
              <w:pStyle w:val="6"/>
              <w:spacing w:before="234" w:line="130" w:lineRule="exact"/>
              <w:ind w:left="659"/>
            </w:pPr>
            <w:r>
              <w:rPr>
                <w:position w:val="-3"/>
              </w:rPr>
              <w:t>-</w:t>
            </w:r>
          </w:p>
        </w:tc>
        <w:tc>
          <w:tcPr>
            <w:tcW w:w="1391" w:type="dxa"/>
            <w:vAlign w:val="top"/>
          </w:tcPr>
          <w:p w14:paraId="360D52DD">
            <w:pPr>
              <w:pStyle w:val="6"/>
              <w:spacing w:before="234" w:line="130" w:lineRule="exact"/>
              <w:ind w:left="661"/>
            </w:pPr>
            <w:r>
              <w:rPr>
                <w:position w:val="-3"/>
              </w:rPr>
              <w:t>-</w:t>
            </w:r>
          </w:p>
        </w:tc>
        <w:tc>
          <w:tcPr>
            <w:tcW w:w="1559" w:type="dxa"/>
            <w:vAlign w:val="top"/>
          </w:tcPr>
          <w:p w14:paraId="6CD6BDB4">
            <w:pPr>
              <w:pStyle w:val="6"/>
              <w:spacing w:before="143" w:line="224" w:lineRule="auto"/>
              <w:ind w:left="181"/>
            </w:pPr>
            <w:r>
              <w:rPr>
                <w:spacing w:val="2"/>
              </w:rPr>
              <w:t>150.5</w:t>
            </w:r>
            <w:r>
              <w:rPr>
                <w:spacing w:val="-27"/>
              </w:rPr>
              <w:t xml:space="preserve"> </w:t>
            </w:r>
            <w:r>
              <w:rPr>
                <w:spacing w:val="2"/>
              </w:rPr>
              <w:t>万吨/年</w:t>
            </w:r>
          </w:p>
        </w:tc>
        <w:tc>
          <w:tcPr>
            <w:tcW w:w="1237" w:type="dxa"/>
            <w:vAlign w:val="top"/>
          </w:tcPr>
          <w:p w14:paraId="5B73E731">
            <w:pPr>
              <w:pStyle w:val="6"/>
              <w:spacing w:before="143" w:line="227" w:lineRule="auto"/>
              <w:ind w:left="215"/>
            </w:pPr>
            <w:r>
              <w:t>2.38</w:t>
            </w:r>
            <w:r>
              <w:rPr>
                <w:spacing w:val="-22"/>
              </w:rPr>
              <w:t xml:space="preserve"> </w:t>
            </w:r>
            <w:r>
              <w:t>万吨</w:t>
            </w:r>
          </w:p>
        </w:tc>
        <w:tc>
          <w:tcPr>
            <w:tcW w:w="1392" w:type="dxa"/>
            <w:vAlign w:val="top"/>
          </w:tcPr>
          <w:p w14:paraId="7792F3C0">
            <w:pPr>
              <w:pStyle w:val="6"/>
              <w:spacing w:before="13" w:line="242" w:lineRule="auto"/>
              <w:ind w:left="239" w:right="187" w:hanging="71"/>
            </w:pPr>
            <w:r>
              <w:rPr>
                <w:spacing w:val="2"/>
              </w:rPr>
              <w:t>2021</w:t>
            </w:r>
            <w:r>
              <w:rPr>
                <w:spacing w:val="-30"/>
              </w:rPr>
              <w:t xml:space="preserve"> </w:t>
            </w:r>
            <w:r>
              <w:rPr>
                <w:spacing w:val="2"/>
              </w:rPr>
              <w:t>年动用</w:t>
            </w:r>
            <w:r>
              <w:t>20.59</w:t>
            </w:r>
            <w:r>
              <w:rPr>
                <w:spacing w:val="-21"/>
              </w:rPr>
              <w:t xml:space="preserve"> </w:t>
            </w:r>
            <w:r>
              <w:t>万吨</w:t>
            </w:r>
          </w:p>
        </w:tc>
      </w:tr>
      <w:tr w14:paraId="545D5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057" w:type="dxa"/>
            <w:vAlign w:val="top"/>
          </w:tcPr>
          <w:p w14:paraId="0A009D03">
            <w:pPr>
              <w:pStyle w:val="6"/>
              <w:spacing w:before="111" w:line="227" w:lineRule="auto"/>
              <w:ind w:left="349"/>
            </w:pPr>
            <w:r>
              <w:rPr>
                <w:spacing w:val="3"/>
              </w:rPr>
              <w:t>岩金</w:t>
            </w:r>
          </w:p>
        </w:tc>
        <w:tc>
          <w:tcPr>
            <w:tcW w:w="719" w:type="dxa"/>
            <w:gridSpan w:val="2"/>
            <w:vAlign w:val="top"/>
          </w:tcPr>
          <w:p w14:paraId="7B41FB8D">
            <w:pPr>
              <w:pStyle w:val="6"/>
              <w:spacing w:before="111" w:line="242" w:lineRule="auto"/>
              <w:ind w:left="279"/>
            </w:pPr>
            <w:r>
              <w:rPr>
                <w:spacing w:val="-4"/>
              </w:rPr>
              <w:t>20</w:t>
            </w:r>
          </w:p>
        </w:tc>
        <w:tc>
          <w:tcPr>
            <w:tcW w:w="672" w:type="dxa"/>
            <w:vAlign w:val="top"/>
          </w:tcPr>
          <w:p w14:paraId="74257B70">
            <w:pPr>
              <w:pStyle w:val="6"/>
              <w:spacing w:before="111" w:line="242" w:lineRule="auto"/>
              <w:ind w:left="306"/>
            </w:pPr>
            <w:r>
              <w:t>7</w:t>
            </w:r>
          </w:p>
        </w:tc>
        <w:tc>
          <w:tcPr>
            <w:tcW w:w="1400" w:type="dxa"/>
            <w:vAlign w:val="top"/>
          </w:tcPr>
          <w:p w14:paraId="3B002E4C">
            <w:pPr>
              <w:pStyle w:val="6"/>
              <w:spacing w:before="201" w:line="131" w:lineRule="exact"/>
              <w:ind w:left="659"/>
            </w:pPr>
            <w:r>
              <w:rPr>
                <w:position w:val="-3"/>
              </w:rPr>
              <w:t>-</w:t>
            </w:r>
          </w:p>
        </w:tc>
        <w:tc>
          <w:tcPr>
            <w:tcW w:w="1391" w:type="dxa"/>
            <w:vAlign w:val="top"/>
          </w:tcPr>
          <w:p w14:paraId="008CFF4A">
            <w:pPr>
              <w:pStyle w:val="6"/>
              <w:spacing w:before="201" w:line="131" w:lineRule="exact"/>
              <w:ind w:left="661"/>
            </w:pPr>
            <w:r>
              <w:rPr>
                <w:position w:val="-3"/>
              </w:rPr>
              <w:t>-</w:t>
            </w:r>
          </w:p>
        </w:tc>
        <w:tc>
          <w:tcPr>
            <w:tcW w:w="1559" w:type="dxa"/>
            <w:vAlign w:val="top"/>
          </w:tcPr>
          <w:p w14:paraId="4516AEE4">
            <w:pPr>
              <w:pStyle w:val="6"/>
              <w:spacing w:before="110" w:line="224" w:lineRule="auto"/>
              <w:ind w:left="178"/>
            </w:pPr>
            <w:r>
              <w:rPr>
                <w:spacing w:val="2"/>
              </w:rPr>
              <w:t>69.36</w:t>
            </w:r>
            <w:r>
              <w:rPr>
                <w:spacing w:val="-24"/>
              </w:rPr>
              <w:t xml:space="preserve"> </w:t>
            </w:r>
            <w:r>
              <w:rPr>
                <w:spacing w:val="2"/>
              </w:rPr>
              <w:t>万吨/年</w:t>
            </w:r>
          </w:p>
        </w:tc>
        <w:tc>
          <w:tcPr>
            <w:tcW w:w="1237" w:type="dxa"/>
            <w:vAlign w:val="top"/>
          </w:tcPr>
          <w:p w14:paraId="55DF2716">
            <w:pPr>
              <w:pStyle w:val="6"/>
              <w:spacing w:before="111" w:line="227" w:lineRule="auto"/>
              <w:ind w:left="172"/>
            </w:pPr>
            <w:r>
              <w:rPr>
                <w:spacing w:val="-1"/>
              </w:rPr>
              <w:t>10.13</w:t>
            </w:r>
            <w:r>
              <w:rPr>
                <w:spacing w:val="-19"/>
              </w:rPr>
              <w:t xml:space="preserve"> </w:t>
            </w:r>
            <w:r>
              <w:rPr>
                <w:spacing w:val="-1"/>
              </w:rPr>
              <w:t>万吨</w:t>
            </w:r>
          </w:p>
        </w:tc>
        <w:tc>
          <w:tcPr>
            <w:tcW w:w="1392" w:type="dxa"/>
            <w:vAlign w:val="top"/>
          </w:tcPr>
          <w:p w14:paraId="0B945045">
            <w:pPr>
              <w:rPr>
                <w:rFonts w:ascii="Arial"/>
                <w:sz w:val="21"/>
              </w:rPr>
            </w:pPr>
          </w:p>
        </w:tc>
      </w:tr>
      <w:tr w14:paraId="3DF55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57" w:type="dxa"/>
            <w:vAlign w:val="top"/>
          </w:tcPr>
          <w:p w14:paraId="568986BC">
            <w:pPr>
              <w:pStyle w:val="6"/>
              <w:spacing w:before="19" w:line="225" w:lineRule="auto"/>
              <w:ind w:left="448"/>
            </w:pPr>
            <w:r>
              <w:t>铁</w:t>
            </w:r>
          </w:p>
        </w:tc>
        <w:tc>
          <w:tcPr>
            <w:tcW w:w="719" w:type="dxa"/>
            <w:gridSpan w:val="2"/>
            <w:vAlign w:val="top"/>
          </w:tcPr>
          <w:p w14:paraId="7AF0A9CE">
            <w:pPr>
              <w:pStyle w:val="6"/>
              <w:spacing w:before="19" w:line="228" w:lineRule="auto"/>
              <w:ind w:left="329"/>
            </w:pPr>
            <w:r>
              <w:t>8</w:t>
            </w:r>
          </w:p>
        </w:tc>
        <w:tc>
          <w:tcPr>
            <w:tcW w:w="672" w:type="dxa"/>
            <w:vAlign w:val="top"/>
          </w:tcPr>
          <w:p w14:paraId="7962934B">
            <w:pPr>
              <w:pStyle w:val="6"/>
              <w:spacing w:before="19" w:line="228" w:lineRule="auto"/>
              <w:ind w:left="309"/>
            </w:pPr>
            <w:r>
              <w:t>1</w:t>
            </w:r>
          </w:p>
        </w:tc>
        <w:tc>
          <w:tcPr>
            <w:tcW w:w="1400" w:type="dxa"/>
            <w:vAlign w:val="top"/>
          </w:tcPr>
          <w:p w14:paraId="56355524">
            <w:pPr>
              <w:pStyle w:val="6"/>
              <w:spacing w:before="110" w:line="130" w:lineRule="exact"/>
              <w:ind w:left="659"/>
            </w:pPr>
            <w:r>
              <w:rPr>
                <w:position w:val="-3"/>
              </w:rPr>
              <w:t>-</w:t>
            </w:r>
          </w:p>
        </w:tc>
        <w:tc>
          <w:tcPr>
            <w:tcW w:w="1391" w:type="dxa"/>
            <w:vAlign w:val="top"/>
          </w:tcPr>
          <w:p w14:paraId="676579D7">
            <w:pPr>
              <w:pStyle w:val="6"/>
              <w:spacing w:before="110" w:line="130" w:lineRule="exact"/>
              <w:ind w:left="661"/>
            </w:pPr>
            <w:r>
              <w:rPr>
                <w:position w:val="-3"/>
              </w:rPr>
              <w:t>-</w:t>
            </w:r>
          </w:p>
        </w:tc>
        <w:tc>
          <w:tcPr>
            <w:tcW w:w="1559" w:type="dxa"/>
            <w:vAlign w:val="top"/>
          </w:tcPr>
          <w:p w14:paraId="15960660">
            <w:pPr>
              <w:pStyle w:val="6"/>
              <w:spacing w:before="19" w:line="224" w:lineRule="auto"/>
              <w:ind w:left="337"/>
            </w:pPr>
            <w:r>
              <w:rPr>
                <w:spacing w:val="-2"/>
              </w:rPr>
              <w:t>30</w:t>
            </w:r>
            <w:r>
              <w:rPr>
                <w:spacing w:val="-17"/>
              </w:rPr>
              <w:t xml:space="preserve"> </w:t>
            </w:r>
            <w:r>
              <w:rPr>
                <w:spacing w:val="-2"/>
              </w:rPr>
              <w:t>万吨/年</w:t>
            </w:r>
          </w:p>
        </w:tc>
        <w:tc>
          <w:tcPr>
            <w:tcW w:w="1237" w:type="dxa"/>
            <w:vAlign w:val="top"/>
          </w:tcPr>
          <w:p w14:paraId="13F7894D">
            <w:pPr>
              <w:pStyle w:val="6"/>
              <w:spacing w:before="19" w:line="227" w:lineRule="auto"/>
              <w:ind w:left="316"/>
            </w:pPr>
            <w:r>
              <w:rPr>
                <w:spacing w:val="-2"/>
              </w:rPr>
              <w:t>29</w:t>
            </w:r>
            <w:r>
              <w:rPr>
                <w:spacing w:val="-26"/>
              </w:rPr>
              <w:t xml:space="preserve"> </w:t>
            </w:r>
            <w:r>
              <w:rPr>
                <w:spacing w:val="-2"/>
              </w:rPr>
              <w:t>万吨</w:t>
            </w:r>
          </w:p>
        </w:tc>
        <w:tc>
          <w:tcPr>
            <w:tcW w:w="1392" w:type="dxa"/>
            <w:vAlign w:val="top"/>
          </w:tcPr>
          <w:p w14:paraId="5137AC92">
            <w:pPr>
              <w:rPr>
                <w:rFonts w:ascii="Arial"/>
                <w:sz w:val="21"/>
              </w:rPr>
            </w:pPr>
          </w:p>
        </w:tc>
      </w:tr>
      <w:tr w14:paraId="5D842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57" w:type="dxa"/>
            <w:vAlign w:val="top"/>
          </w:tcPr>
          <w:p w14:paraId="6F69A6F0">
            <w:pPr>
              <w:pStyle w:val="6"/>
              <w:spacing w:before="19" w:line="228" w:lineRule="auto"/>
              <w:ind w:left="442"/>
            </w:pPr>
            <w:r>
              <w:rPr>
                <w:spacing w:val="2"/>
              </w:rPr>
              <w:t>锰</w:t>
            </w:r>
          </w:p>
        </w:tc>
        <w:tc>
          <w:tcPr>
            <w:tcW w:w="719" w:type="dxa"/>
            <w:gridSpan w:val="2"/>
            <w:vAlign w:val="top"/>
          </w:tcPr>
          <w:p w14:paraId="18DAB916">
            <w:pPr>
              <w:pStyle w:val="6"/>
              <w:spacing w:before="19" w:line="228" w:lineRule="auto"/>
              <w:ind w:left="329"/>
            </w:pPr>
            <w:r>
              <w:t>5</w:t>
            </w:r>
          </w:p>
        </w:tc>
        <w:tc>
          <w:tcPr>
            <w:tcW w:w="672" w:type="dxa"/>
            <w:vAlign w:val="top"/>
          </w:tcPr>
          <w:p w14:paraId="3541D58A">
            <w:pPr>
              <w:pStyle w:val="6"/>
              <w:spacing w:before="19" w:line="228" w:lineRule="auto"/>
              <w:ind w:left="310"/>
            </w:pPr>
            <w:r>
              <w:t>0</w:t>
            </w:r>
          </w:p>
        </w:tc>
        <w:tc>
          <w:tcPr>
            <w:tcW w:w="1400" w:type="dxa"/>
            <w:vAlign w:val="top"/>
          </w:tcPr>
          <w:p w14:paraId="4515ADA6">
            <w:pPr>
              <w:pStyle w:val="6"/>
              <w:spacing w:before="110" w:line="130" w:lineRule="exact"/>
              <w:ind w:left="659"/>
            </w:pPr>
            <w:r>
              <w:rPr>
                <w:position w:val="-3"/>
              </w:rPr>
              <w:t>-</w:t>
            </w:r>
          </w:p>
        </w:tc>
        <w:tc>
          <w:tcPr>
            <w:tcW w:w="1391" w:type="dxa"/>
            <w:vAlign w:val="top"/>
          </w:tcPr>
          <w:p w14:paraId="6FADE415">
            <w:pPr>
              <w:pStyle w:val="6"/>
              <w:spacing w:before="110" w:line="130" w:lineRule="exact"/>
              <w:ind w:left="661"/>
            </w:pPr>
            <w:r>
              <w:rPr>
                <w:position w:val="-3"/>
              </w:rPr>
              <w:t>-</w:t>
            </w:r>
          </w:p>
        </w:tc>
        <w:tc>
          <w:tcPr>
            <w:tcW w:w="1559" w:type="dxa"/>
            <w:vAlign w:val="top"/>
          </w:tcPr>
          <w:p w14:paraId="116BFB30">
            <w:pPr>
              <w:pStyle w:val="6"/>
              <w:spacing w:before="19" w:line="227" w:lineRule="auto"/>
              <w:ind w:left="751"/>
            </w:pPr>
            <w:r>
              <w:t>/</w:t>
            </w:r>
          </w:p>
        </w:tc>
        <w:tc>
          <w:tcPr>
            <w:tcW w:w="1237" w:type="dxa"/>
            <w:vAlign w:val="top"/>
          </w:tcPr>
          <w:p w14:paraId="29266FD4">
            <w:pPr>
              <w:pStyle w:val="6"/>
              <w:spacing w:before="19" w:line="227" w:lineRule="auto"/>
              <w:ind w:left="589"/>
            </w:pPr>
            <w:r>
              <w:t>/</w:t>
            </w:r>
          </w:p>
        </w:tc>
        <w:tc>
          <w:tcPr>
            <w:tcW w:w="1392" w:type="dxa"/>
            <w:vAlign w:val="top"/>
          </w:tcPr>
          <w:p w14:paraId="462A645D">
            <w:pPr>
              <w:rPr>
                <w:rFonts w:ascii="Arial"/>
                <w:sz w:val="21"/>
              </w:rPr>
            </w:pPr>
          </w:p>
        </w:tc>
      </w:tr>
      <w:tr w14:paraId="39480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57" w:type="dxa"/>
            <w:vAlign w:val="top"/>
          </w:tcPr>
          <w:p w14:paraId="7EC486B8">
            <w:pPr>
              <w:pStyle w:val="6"/>
              <w:spacing w:before="19" w:line="224" w:lineRule="auto"/>
              <w:ind w:left="451"/>
            </w:pPr>
            <w:r>
              <w:t>钼</w:t>
            </w:r>
          </w:p>
        </w:tc>
        <w:tc>
          <w:tcPr>
            <w:tcW w:w="719" w:type="dxa"/>
            <w:gridSpan w:val="2"/>
            <w:vAlign w:val="top"/>
          </w:tcPr>
          <w:p w14:paraId="5ADA2B83">
            <w:pPr>
              <w:pStyle w:val="6"/>
              <w:spacing w:before="19" w:line="228" w:lineRule="auto"/>
              <w:ind w:left="332"/>
            </w:pPr>
            <w:r>
              <w:t>1</w:t>
            </w:r>
          </w:p>
        </w:tc>
        <w:tc>
          <w:tcPr>
            <w:tcW w:w="672" w:type="dxa"/>
            <w:vAlign w:val="top"/>
          </w:tcPr>
          <w:p w14:paraId="18B6C2AF">
            <w:pPr>
              <w:pStyle w:val="6"/>
              <w:spacing w:before="19" w:line="228" w:lineRule="auto"/>
              <w:ind w:left="310"/>
            </w:pPr>
            <w:r>
              <w:t>0</w:t>
            </w:r>
          </w:p>
        </w:tc>
        <w:tc>
          <w:tcPr>
            <w:tcW w:w="1400" w:type="dxa"/>
            <w:vAlign w:val="top"/>
          </w:tcPr>
          <w:p w14:paraId="79B0E90C">
            <w:pPr>
              <w:pStyle w:val="6"/>
              <w:spacing w:before="110" w:line="130" w:lineRule="exact"/>
              <w:ind w:left="659"/>
            </w:pPr>
            <w:r>
              <w:rPr>
                <w:position w:val="-3"/>
              </w:rPr>
              <w:t>-</w:t>
            </w:r>
          </w:p>
        </w:tc>
        <w:tc>
          <w:tcPr>
            <w:tcW w:w="1391" w:type="dxa"/>
            <w:vAlign w:val="top"/>
          </w:tcPr>
          <w:p w14:paraId="50276B84">
            <w:pPr>
              <w:pStyle w:val="6"/>
              <w:spacing w:before="110" w:line="130" w:lineRule="exact"/>
              <w:ind w:left="661"/>
            </w:pPr>
            <w:r>
              <w:rPr>
                <w:position w:val="-3"/>
              </w:rPr>
              <w:t>-</w:t>
            </w:r>
          </w:p>
        </w:tc>
        <w:tc>
          <w:tcPr>
            <w:tcW w:w="1559" w:type="dxa"/>
            <w:vAlign w:val="top"/>
          </w:tcPr>
          <w:p w14:paraId="621EA972">
            <w:pPr>
              <w:pStyle w:val="6"/>
              <w:spacing w:before="19" w:line="227" w:lineRule="auto"/>
              <w:ind w:left="751"/>
            </w:pPr>
            <w:r>
              <w:t>/</w:t>
            </w:r>
          </w:p>
        </w:tc>
        <w:tc>
          <w:tcPr>
            <w:tcW w:w="1237" w:type="dxa"/>
            <w:vAlign w:val="top"/>
          </w:tcPr>
          <w:p w14:paraId="5354CE67">
            <w:pPr>
              <w:pStyle w:val="6"/>
              <w:spacing w:before="19" w:line="227" w:lineRule="auto"/>
              <w:ind w:left="589"/>
            </w:pPr>
            <w:r>
              <w:t>/</w:t>
            </w:r>
          </w:p>
        </w:tc>
        <w:tc>
          <w:tcPr>
            <w:tcW w:w="1392" w:type="dxa"/>
            <w:vAlign w:val="top"/>
          </w:tcPr>
          <w:p w14:paraId="0FB37724">
            <w:pPr>
              <w:rPr>
                <w:rFonts w:ascii="Arial"/>
                <w:sz w:val="21"/>
              </w:rPr>
            </w:pPr>
          </w:p>
        </w:tc>
      </w:tr>
      <w:tr w14:paraId="07C23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57" w:type="dxa"/>
            <w:vAlign w:val="top"/>
          </w:tcPr>
          <w:p w14:paraId="7BE854EA">
            <w:pPr>
              <w:pStyle w:val="6"/>
              <w:spacing w:before="19" w:line="224" w:lineRule="auto"/>
              <w:ind w:left="443"/>
            </w:pPr>
            <w:r>
              <w:rPr>
                <w:spacing w:val="1"/>
              </w:rPr>
              <w:t>钨</w:t>
            </w:r>
          </w:p>
        </w:tc>
        <w:tc>
          <w:tcPr>
            <w:tcW w:w="719" w:type="dxa"/>
            <w:gridSpan w:val="2"/>
            <w:vAlign w:val="top"/>
          </w:tcPr>
          <w:p w14:paraId="7143C500">
            <w:pPr>
              <w:pStyle w:val="6"/>
              <w:spacing w:before="19" w:line="228" w:lineRule="auto"/>
              <w:ind w:left="332"/>
            </w:pPr>
            <w:r>
              <w:t>1</w:t>
            </w:r>
          </w:p>
        </w:tc>
        <w:tc>
          <w:tcPr>
            <w:tcW w:w="672" w:type="dxa"/>
            <w:vAlign w:val="top"/>
          </w:tcPr>
          <w:p w14:paraId="3BD1BCF8">
            <w:pPr>
              <w:pStyle w:val="6"/>
              <w:spacing w:before="19" w:line="228" w:lineRule="auto"/>
              <w:ind w:left="310"/>
            </w:pPr>
            <w:r>
              <w:t>0</w:t>
            </w:r>
          </w:p>
        </w:tc>
        <w:tc>
          <w:tcPr>
            <w:tcW w:w="1400" w:type="dxa"/>
            <w:vAlign w:val="top"/>
          </w:tcPr>
          <w:p w14:paraId="52E6DBA6">
            <w:pPr>
              <w:pStyle w:val="6"/>
              <w:spacing w:before="109" w:line="131" w:lineRule="exact"/>
              <w:ind w:left="659"/>
            </w:pPr>
            <w:r>
              <w:rPr>
                <w:position w:val="-3"/>
              </w:rPr>
              <w:t>-</w:t>
            </w:r>
          </w:p>
        </w:tc>
        <w:tc>
          <w:tcPr>
            <w:tcW w:w="1391" w:type="dxa"/>
            <w:vAlign w:val="top"/>
          </w:tcPr>
          <w:p w14:paraId="253E0927">
            <w:pPr>
              <w:pStyle w:val="6"/>
              <w:spacing w:before="109" w:line="131" w:lineRule="exact"/>
              <w:ind w:left="661"/>
            </w:pPr>
            <w:r>
              <w:rPr>
                <w:position w:val="-3"/>
              </w:rPr>
              <w:t>-</w:t>
            </w:r>
          </w:p>
        </w:tc>
        <w:tc>
          <w:tcPr>
            <w:tcW w:w="1559" w:type="dxa"/>
            <w:vAlign w:val="top"/>
          </w:tcPr>
          <w:p w14:paraId="331B079C">
            <w:pPr>
              <w:pStyle w:val="6"/>
              <w:spacing w:before="19" w:line="227" w:lineRule="auto"/>
              <w:ind w:left="751"/>
            </w:pPr>
            <w:r>
              <w:t>/</w:t>
            </w:r>
          </w:p>
        </w:tc>
        <w:tc>
          <w:tcPr>
            <w:tcW w:w="1237" w:type="dxa"/>
            <w:vAlign w:val="top"/>
          </w:tcPr>
          <w:p w14:paraId="381377B5">
            <w:pPr>
              <w:pStyle w:val="6"/>
              <w:spacing w:before="19" w:line="227" w:lineRule="auto"/>
              <w:ind w:left="589"/>
            </w:pPr>
            <w:r>
              <w:t>/</w:t>
            </w:r>
          </w:p>
        </w:tc>
        <w:tc>
          <w:tcPr>
            <w:tcW w:w="1392" w:type="dxa"/>
            <w:vAlign w:val="top"/>
          </w:tcPr>
          <w:p w14:paraId="601B829A">
            <w:pPr>
              <w:rPr>
                <w:rFonts w:ascii="Arial"/>
                <w:sz w:val="21"/>
              </w:rPr>
            </w:pPr>
          </w:p>
        </w:tc>
      </w:tr>
      <w:tr w14:paraId="26297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057" w:type="dxa"/>
            <w:vAlign w:val="top"/>
          </w:tcPr>
          <w:p w14:paraId="6A0D4BFA">
            <w:pPr>
              <w:pStyle w:val="6"/>
              <w:spacing w:before="114" w:line="223" w:lineRule="auto"/>
              <w:ind w:left="156"/>
            </w:pPr>
            <w:r>
              <w:rPr>
                <w:spacing w:val="5"/>
              </w:rPr>
              <w:t>石榴子石</w:t>
            </w:r>
          </w:p>
        </w:tc>
        <w:tc>
          <w:tcPr>
            <w:tcW w:w="719" w:type="dxa"/>
            <w:gridSpan w:val="2"/>
            <w:vAlign w:val="top"/>
          </w:tcPr>
          <w:p w14:paraId="1E25B2BC">
            <w:pPr>
              <w:pStyle w:val="6"/>
              <w:spacing w:before="114" w:line="251" w:lineRule="exact"/>
              <w:ind w:left="327"/>
            </w:pPr>
            <w:r>
              <w:rPr>
                <w:position w:val="1"/>
              </w:rPr>
              <w:t>2</w:t>
            </w:r>
          </w:p>
        </w:tc>
        <w:tc>
          <w:tcPr>
            <w:tcW w:w="672" w:type="dxa"/>
            <w:vAlign w:val="top"/>
          </w:tcPr>
          <w:p w14:paraId="7E17CDDF">
            <w:pPr>
              <w:pStyle w:val="6"/>
              <w:spacing w:before="114" w:line="251" w:lineRule="exact"/>
              <w:ind w:left="309"/>
            </w:pPr>
            <w:r>
              <w:rPr>
                <w:position w:val="1"/>
              </w:rPr>
              <w:t>1</w:t>
            </w:r>
          </w:p>
        </w:tc>
        <w:tc>
          <w:tcPr>
            <w:tcW w:w="1400" w:type="dxa"/>
            <w:vAlign w:val="top"/>
          </w:tcPr>
          <w:p w14:paraId="11884D2C">
            <w:pPr>
              <w:pStyle w:val="6"/>
              <w:spacing w:before="205" w:line="130" w:lineRule="exact"/>
              <w:ind w:left="659"/>
            </w:pPr>
            <w:r>
              <w:rPr>
                <w:position w:val="-3"/>
              </w:rPr>
              <w:t>-</w:t>
            </w:r>
          </w:p>
        </w:tc>
        <w:tc>
          <w:tcPr>
            <w:tcW w:w="1391" w:type="dxa"/>
            <w:vAlign w:val="top"/>
          </w:tcPr>
          <w:p w14:paraId="5A105A68">
            <w:pPr>
              <w:pStyle w:val="6"/>
              <w:spacing w:before="205" w:line="130" w:lineRule="exact"/>
              <w:ind w:left="661"/>
            </w:pPr>
            <w:r>
              <w:rPr>
                <w:position w:val="-3"/>
              </w:rPr>
              <w:t>-</w:t>
            </w:r>
          </w:p>
        </w:tc>
        <w:tc>
          <w:tcPr>
            <w:tcW w:w="1559" w:type="dxa"/>
            <w:vAlign w:val="top"/>
          </w:tcPr>
          <w:p w14:paraId="395844A6">
            <w:pPr>
              <w:pStyle w:val="6"/>
              <w:spacing w:before="114" w:line="224" w:lineRule="auto"/>
              <w:ind w:left="283"/>
            </w:pPr>
            <w:r>
              <w:t>0.2</w:t>
            </w:r>
            <w:r>
              <w:rPr>
                <w:spacing w:val="-22"/>
              </w:rPr>
              <w:t xml:space="preserve"> </w:t>
            </w:r>
            <w:r>
              <w:t>万吨/年</w:t>
            </w:r>
          </w:p>
        </w:tc>
        <w:tc>
          <w:tcPr>
            <w:tcW w:w="1237" w:type="dxa"/>
            <w:vAlign w:val="top"/>
          </w:tcPr>
          <w:p w14:paraId="07BD3B0E">
            <w:pPr>
              <w:pStyle w:val="6"/>
              <w:spacing w:before="114" w:line="227" w:lineRule="auto"/>
              <w:ind w:left="375"/>
            </w:pPr>
            <w:r>
              <w:rPr>
                <w:spacing w:val="-7"/>
              </w:rPr>
              <w:t>0</w:t>
            </w:r>
            <w:r>
              <w:rPr>
                <w:spacing w:val="-25"/>
              </w:rPr>
              <w:t xml:space="preserve"> </w:t>
            </w:r>
            <w:r>
              <w:rPr>
                <w:spacing w:val="-7"/>
              </w:rPr>
              <w:t>万吨</w:t>
            </w:r>
          </w:p>
        </w:tc>
        <w:tc>
          <w:tcPr>
            <w:tcW w:w="1392" w:type="dxa"/>
            <w:vAlign w:val="top"/>
          </w:tcPr>
          <w:p w14:paraId="5FD2D19F">
            <w:pPr>
              <w:rPr>
                <w:rFonts w:ascii="Arial"/>
                <w:sz w:val="21"/>
              </w:rPr>
            </w:pPr>
          </w:p>
        </w:tc>
      </w:tr>
      <w:tr w14:paraId="5D7C8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021B6546">
            <w:pPr>
              <w:pStyle w:val="6"/>
              <w:spacing w:before="13" w:line="242" w:lineRule="auto"/>
              <w:ind w:left="449" w:right="114" w:hanging="302"/>
            </w:pPr>
            <w:r>
              <w:rPr>
                <w:spacing w:val="7"/>
              </w:rPr>
              <w:t>水泥用灰</w:t>
            </w:r>
            <w:r>
              <w:t>岩</w:t>
            </w:r>
          </w:p>
        </w:tc>
        <w:tc>
          <w:tcPr>
            <w:tcW w:w="719" w:type="dxa"/>
            <w:gridSpan w:val="2"/>
            <w:vAlign w:val="top"/>
          </w:tcPr>
          <w:p w14:paraId="209763CB">
            <w:pPr>
              <w:pStyle w:val="6"/>
              <w:spacing w:before="144" w:line="242" w:lineRule="auto"/>
              <w:ind w:left="329"/>
            </w:pPr>
            <w:r>
              <w:t>5</w:t>
            </w:r>
          </w:p>
        </w:tc>
        <w:tc>
          <w:tcPr>
            <w:tcW w:w="672" w:type="dxa"/>
            <w:vAlign w:val="top"/>
          </w:tcPr>
          <w:p w14:paraId="2B958F3F">
            <w:pPr>
              <w:pStyle w:val="6"/>
              <w:spacing w:before="144" w:line="251" w:lineRule="exact"/>
              <w:ind w:left="309"/>
            </w:pPr>
            <w:r>
              <w:rPr>
                <w:position w:val="1"/>
              </w:rPr>
              <w:t>1</w:t>
            </w:r>
          </w:p>
        </w:tc>
        <w:tc>
          <w:tcPr>
            <w:tcW w:w="1400" w:type="dxa"/>
            <w:vAlign w:val="top"/>
          </w:tcPr>
          <w:p w14:paraId="7716157A">
            <w:pPr>
              <w:pStyle w:val="6"/>
              <w:spacing w:before="234" w:line="131" w:lineRule="exact"/>
              <w:ind w:left="659"/>
            </w:pPr>
            <w:r>
              <w:rPr>
                <w:position w:val="-3"/>
              </w:rPr>
              <w:t>-</w:t>
            </w:r>
          </w:p>
        </w:tc>
        <w:tc>
          <w:tcPr>
            <w:tcW w:w="1391" w:type="dxa"/>
            <w:vAlign w:val="top"/>
          </w:tcPr>
          <w:p w14:paraId="6EE07248">
            <w:pPr>
              <w:pStyle w:val="6"/>
              <w:spacing w:before="234" w:line="131" w:lineRule="exact"/>
              <w:ind w:left="661"/>
            </w:pPr>
            <w:r>
              <w:rPr>
                <w:position w:val="-3"/>
              </w:rPr>
              <w:t>-</w:t>
            </w:r>
          </w:p>
        </w:tc>
        <w:tc>
          <w:tcPr>
            <w:tcW w:w="1559" w:type="dxa"/>
            <w:vAlign w:val="top"/>
          </w:tcPr>
          <w:p w14:paraId="3CA991EF">
            <w:pPr>
              <w:pStyle w:val="6"/>
              <w:spacing w:before="143" w:line="224" w:lineRule="auto"/>
              <w:ind w:left="329"/>
            </w:pPr>
            <w:r>
              <w:t>45</w:t>
            </w:r>
            <w:r>
              <w:rPr>
                <w:spacing w:val="-21"/>
              </w:rPr>
              <w:t xml:space="preserve"> </w:t>
            </w:r>
            <w:r>
              <w:t>万吨/年</w:t>
            </w:r>
          </w:p>
        </w:tc>
        <w:tc>
          <w:tcPr>
            <w:tcW w:w="1237" w:type="dxa"/>
            <w:vAlign w:val="top"/>
          </w:tcPr>
          <w:p w14:paraId="18622D06">
            <w:pPr>
              <w:pStyle w:val="6"/>
              <w:spacing w:before="144" w:line="227" w:lineRule="auto"/>
              <w:ind w:left="315"/>
            </w:pPr>
            <w:r>
              <w:rPr>
                <w:spacing w:val="-2"/>
              </w:rPr>
              <w:t>45</w:t>
            </w:r>
            <w:r>
              <w:rPr>
                <w:spacing w:val="-25"/>
              </w:rPr>
              <w:t xml:space="preserve"> </w:t>
            </w:r>
            <w:r>
              <w:rPr>
                <w:spacing w:val="-2"/>
              </w:rPr>
              <w:t>万吨</w:t>
            </w:r>
          </w:p>
        </w:tc>
        <w:tc>
          <w:tcPr>
            <w:tcW w:w="1392" w:type="dxa"/>
            <w:vAlign w:val="top"/>
          </w:tcPr>
          <w:p w14:paraId="49E2D6D7">
            <w:pPr>
              <w:rPr>
                <w:rFonts w:ascii="Arial"/>
                <w:sz w:val="21"/>
              </w:rPr>
            </w:pPr>
          </w:p>
        </w:tc>
      </w:tr>
      <w:tr w14:paraId="0435A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263C893B">
            <w:pPr>
              <w:pStyle w:val="6"/>
              <w:spacing w:before="15" w:line="241" w:lineRule="auto"/>
              <w:ind w:left="449" w:right="114" w:hanging="295"/>
            </w:pPr>
            <w:r>
              <w:rPr>
                <w:spacing w:val="5"/>
              </w:rPr>
              <w:t>制灰用灰</w:t>
            </w:r>
            <w:r>
              <w:t>岩</w:t>
            </w:r>
          </w:p>
        </w:tc>
        <w:tc>
          <w:tcPr>
            <w:tcW w:w="719" w:type="dxa"/>
            <w:gridSpan w:val="2"/>
            <w:vAlign w:val="top"/>
          </w:tcPr>
          <w:p w14:paraId="31B5BF92">
            <w:pPr>
              <w:pStyle w:val="6"/>
              <w:spacing w:before="144" w:line="251" w:lineRule="exact"/>
              <w:ind w:left="332"/>
            </w:pPr>
            <w:r>
              <w:rPr>
                <w:position w:val="1"/>
              </w:rPr>
              <w:t>1</w:t>
            </w:r>
          </w:p>
        </w:tc>
        <w:tc>
          <w:tcPr>
            <w:tcW w:w="672" w:type="dxa"/>
            <w:vAlign w:val="top"/>
          </w:tcPr>
          <w:p w14:paraId="0EBF2519">
            <w:pPr>
              <w:pStyle w:val="6"/>
              <w:spacing w:before="144" w:line="251" w:lineRule="exact"/>
              <w:ind w:left="309"/>
            </w:pPr>
            <w:r>
              <w:rPr>
                <w:position w:val="1"/>
              </w:rPr>
              <w:t>1</w:t>
            </w:r>
          </w:p>
        </w:tc>
        <w:tc>
          <w:tcPr>
            <w:tcW w:w="1400" w:type="dxa"/>
            <w:vAlign w:val="top"/>
          </w:tcPr>
          <w:p w14:paraId="6B8D4583">
            <w:pPr>
              <w:pStyle w:val="6"/>
              <w:spacing w:before="235" w:line="131" w:lineRule="exact"/>
              <w:ind w:left="659"/>
            </w:pPr>
            <w:r>
              <w:rPr>
                <w:position w:val="-3"/>
              </w:rPr>
              <w:t>-</w:t>
            </w:r>
          </w:p>
        </w:tc>
        <w:tc>
          <w:tcPr>
            <w:tcW w:w="1391" w:type="dxa"/>
            <w:vAlign w:val="top"/>
          </w:tcPr>
          <w:p w14:paraId="24AC5892">
            <w:pPr>
              <w:pStyle w:val="6"/>
              <w:spacing w:before="235" w:line="131" w:lineRule="exact"/>
              <w:ind w:left="661"/>
            </w:pPr>
            <w:r>
              <w:rPr>
                <w:position w:val="-3"/>
              </w:rPr>
              <w:t>-</w:t>
            </w:r>
          </w:p>
        </w:tc>
        <w:tc>
          <w:tcPr>
            <w:tcW w:w="1559" w:type="dxa"/>
            <w:vAlign w:val="top"/>
          </w:tcPr>
          <w:p w14:paraId="04405946">
            <w:pPr>
              <w:pStyle w:val="6"/>
              <w:spacing w:before="144" w:line="224" w:lineRule="auto"/>
              <w:ind w:left="337"/>
            </w:pPr>
            <w:r>
              <w:rPr>
                <w:spacing w:val="-2"/>
              </w:rPr>
              <w:t>30</w:t>
            </w:r>
            <w:r>
              <w:rPr>
                <w:spacing w:val="-17"/>
              </w:rPr>
              <w:t xml:space="preserve"> </w:t>
            </w:r>
            <w:r>
              <w:rPr>
                <w:spacing w:val="-2"/>
              </w:rPr>
              <w:t>万吨/年</w:t>
            </w:r>
          </w:p>
        </w:tc>
        <w:tc>
          <w:tcPr>
            <w:tcW w:w="1237" w:type="dxa"/>
            <w:vAlign w:val="top"/>
          </w:tcPr>
          <w:p w14:paraId="06A7D559">
            <w:pPr>
              <w:pStyle w:val="6"/>
              <w:spacing w:before="145" w:line="227" w:lineRule="auto"/>
              <w:ind w:left="214"/>
            </w:pPr>
            <w:r>
              <w:t>4.52</w:t>
            </w:r>
            <w:r>
              <w:rPr>
                <w:spacing w:val="-22"/>
              </w:rPr>
              <w:t xml:space="preserve"> </w:t>
            </w:r>
            <w:r>
              <w:t>万吨</w:t>
            </w:r>
          </w:p>
        </w:tc>
        <w:tc>
          <w:tcPr>
            <w:tcW w:w="1392" w:type="dxa"/>
            <w:vAlign w:val="top"/>
          </w:tcPr>
          <w:p w14:paraId="6BE49A02">
            <w:pPr>
              <w:rPr>
                <w:rFonts w:ascii="Arial"/>
                <w:sz w:val="21"/>
              </w:rPr>
            </w:pPr>
          </w:p>
        </w:tc>
      </w:tr>
      <w:tr w14:paraId="45BEF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2DDB4F01">
            <w:pPr>
              <w:pStyle w:val="6"/>
              <w:spacing w:before="20" w:line="239" w:lineRule="auto"/>
              <w:ind w:left="347" w:right="114" w:hanging="201"/>
            </w:pPr>
            <w:r>
              <w:rPr>
                <w:spacing w:val="7"/>
              </w:rPr>
              <w:t>饰面用大</w:t>
            </w:r>
            <w:r>
              <w:rPr>
                <w:spacing w:val="4"/>
              </w:rPr>
              <w:t>理岩</w:t>
            </w:r>
          </w:p>
        </w:tc>
        <w:tc>
          <w:tcPr>
            <w:tcW w:w="719" w:type="dxa"/>
            <w:gridSpan w:val="2"/>
            <w:vAlign w:val="top"/>
          </w:tcPr>
          <w:p w14:paraId="155A6BF0">
            <w:pPr>
              <w:pStyle w:val="6"/>
              <w:spacing w:before="146" w:line="242" w:lineRule="auto"/>
              <w:ind w:left="335"/>
            </w:pPr>
            <w:r>
              <w:t>3</w:t>
            </w:r>
          </w:p>
        </w:tc>
        <w:tc>
          <w:tcPr>
            <w:tcW w:w="672" w:type="dxa"/>
            <w:vAlign w:val="top"/>
          </w:tcPr>
          <w:p w14:paraId="041E4499">
            <w:pPr>
              <w:pStyle w:val="6"/>
              <w:spacing w:before="146" w:line="242" w:lineRule="auto"/>
              <w:ind w:left="312"/>
            </w:pPr>
            <w:r>
              <w:t>3</w:t>
            </w:r>
          </w:p>
        </w:tc>
        <w:tc>
          <w:tcPr>
            <w:tcW w:w="1400" w:type="dxa"/>
            <w:vAlign w:val="top"/>
          </w:tcPr>
          <w:p w14:paraId="28C9F4A6">
            <w:pPr>
              <w:pStyle w:val="6"/>
              <w:spacing w:before="236" w:line="130" w:lineRule="exact"/>
              <w:ind w:left="659"/>
            </w:pPr>
            <w:r>
              <w:rPr>
                <w:position w:val="-3"/>
              </w:rPr>
              <w:t>-</w:t>
            </w:r>
          </w:p>
        </w:tc>
        <w:tc>
          <w:tcPr>
            <w:tcW w:w="1391" w:type="dxa"/>
            <w:vAlign w:val="top"/>
          </w:tcPr>
          <w:p w14:paraId="0402D3E9">
            <w:pPr>
              <w:pStyle w:val="6"/>
              <w:spacing w:before="236" w:line="130" w:lineRule="exact"/>
              <w:ind w:left="661"/>
            </w:pPr>
            <w:r>
              <w:rPr>
                <w:position w:val="-3"/>
              </w:rPr>
              <w:t>-</w:t>
            </w:r>
          </w:p>
        </w:tc>
        <w:tc>
          <w:tcPr>
            <w:tcW w:w="1559" w:type="dxa"/>
            <w:vAlign w:val="top"/>
          </w:tcPr>
          <w:p w14:paraId="0A4222D8">
            <w:pPr>
              <w:pStyle w:val="6"/>
              <w:spacing w:before="20" w:line="239" w:lineRule="auto"/>
              <w:ind w:left="698" w:right="142" w:hanging="523"/>
            </w:pPr>
            <w:r>
              <w:rPr>
                <w:spacing w:val="3"/>
              </w:rPr>
              <w:t>4.5</w:t>
            </w:r>
            <w:r>
              <w:rPr>
                <w:spacing w:val="-25"/>
              </w:rPr>
              <w:t xml:space="preserve"> </w:t>
            </w:r>
            <w:r>
              <w:rPr>
                <w:spacing w:val="3"/>
              </w:rPr>
              <w:t>万立方米/</w:t>
            </w:r>
            <w:r>
              <w:t>年</w:t>
            </w:r>
          </w:p>
        </w:tc>
        <w:tc>
          <w:tcPr>
            <w:tcW w:w="1237" w:type="dxa"/>
            <w:vAlign w:val="top"/>
          </w:tcPr>
          <w:p w14:paraId="3B441028">
            <w:pPr>
              <w:pStyle w:val="6"/>
              <w:spacing w:before="145" w:line="224" w:lineRule="auto"/>
              <w:ind w:left="173"/>
            </w:pPr>
            <w:r>
              <w:t>0</w:t>
            </w:r>
            <w:r>
              <w:rPr>
                <w:spacing w:val="-27"/>
              </w:rPr>
              <w:t xml:space="preserve"> </w:t>
            </w:r>
            <w:r>
              <w:t>万立方米</w:t>
            </w:r>
          </w:p>
        </w:tc>
        <w:tc>
          <w:tcPr>
            <w:tcW w:w="1392" w:type="dxa"/>
            <w:vAlign w:val="top"/>
          </w:tcPr>
          <w:p w14:paraId="188A988A">
            <w:pPr>
              <w:rPr>
                <w:rFonts w:ascii="Arial"/>
                <w:sz w:val="21"/>
              </w:rPr>
            </w:pPr>
          </w:p>
        </w:tc>
      </w:tr>
      <w:tr w14:paraId="3D57D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59A33DC4">
            <w:pPr>
              <w:pStyle w:val="6"/>
              <w:spacing w:before="22" w:line="238" w:lineRule="auto"/>
              <w:ind w:left="372" w:right="114" w:hanging="226"/>
            </w:pPr>
            <w:r>
              <w:rPr>
                <w:spacing w:val="7"/>
              </w:rPr>
              <w:t>饰面用花</w:t>
            </w:r>
            <w:r>
              <w:rPr>
                <w:spacing w:val="-9"/>
              </w:rPr>
              <w:t>岗岩</w:t>
            </w:r>
          </w:p>
        </w:tc>
        <w:tc>
          <w:tcPr>
            <w:tcW w:w="719" w:type="dxa"/>
            <w:gridSpan w:val="2"/>
            <w:vAlign w:val="top"/>
          </w:tcPr>
          <w:p w14:paraId="786E8269">
            <w:pPr>
              <w:pStyle w:val="6"/>
              <w:spacing w:before="146" w:line="251" w:lineRule="exact"/>
              <w:ind w:left="326"/>
            </w:pPr>
            <w:r>
              <w:rPr>
                <w:position w:val="1"/>
              </w:rPr>
              <w:t>4</w:t>
            </w:r>
          </w:p>
        </w:tc>
        <w:tc>
          <w:tcPr>
            <w:tcW w:w="672" w:type="dxa"/>
            <w:vAlign w:val="top"/>
          </w:tcPr>
          <w:p w14:paraId="1FC1279D">
            <w:pPr>
              <w:pStyle w:val="6"/>
              <w:spacing w:before="146" w:line="251" w:lineRule="exact"/>
              <w:ind w:left="309"/>
            </w:pPr>
            <w:r>
              <w:rPr>
                <w:position w:val="1"/>
              </w:rPr>
              <w:t>1</w:t>
            </w:r>
          </w:p>
        </w:tc>
        <w:tc>
          <w:tcPr>
            <w:tcW w:w="1400" w:type="dxa"/>
            <w:vAlign w:val="top"/>
          </w:tcPr>
          <w:p w14:paraId="30D6CBF2">
            <w:pPr>
              <w:pStyle w:val="6"/>
              <w:spacing w:before="237" w:line="130" w:lineRule="exact"/>
              <w:ind w:left="659"/>
            </w:pPr>
            <w:r>
              <w:rPr>
                <w:position w:val="-3"/>
              </w:rPr>
              <w:t>-</w:t>
            </w:r>
          </w:p>
        </w:tc>
        <w:tc>
          <w:tcPr>
            <w:tcW w:w="1391" w:type="dxa"/>
            <w:vAlign w:val="top"/>
          </w:tcPr>
          <w:p w14:paraId="3D34C999">
            <w:pPr>
              <w:pStyle w:val="6"/>
              <w:spacing w:before="237" w:line="130" w:lineRule="exact"/>
              <w:ind w:left="661"/>
            </w:pPr>
            <w:r>
              <w:rPr>
                <w:position w:val="-3"/>
              </w:rPr>
              <w:t>-</w:t>
            </w:r>
          </w:p>
        </w:tc>
        <w:tc>
          <w:tcPr>
            <w:tcW w:w="1559" w:type="dxa"/>
            <w:vAlign w:val="top"/>
          </w:tcPr>
          <w:p w14:paraId="386562A8">
            <w:pPr>
              <w:pStyle w:val="6"/>
              <w:spacing w:before="22" w:line="238" w:lineRule="auto"/>
              <w:ind w:left="698" w:right="94" w:hanging="564"/>
            </w:pPr>
            <w:r>
              <w:rPr>
                <w:spacing w:val="1"/>
              </w:rPr>
              <w:t>0.05</w:t>
            </w:r>
            <w:r>
              <w:rPr>
                <w:spacing w:val="-16"/>
              </w:rPr>
              <w:t xml:space="preserve"> </w:t>
            </w:r>
            <w:r>
              <w:rPr>
                <w:spacing w:val="1"/>
              </w:rPr>
              <w:t>万立方米/</w:t>
            </w:r>
            <w:r>
              <w:t>年</w:t>
            </w:r>
          </w:p>
        </w:tc>
        <w:tc>
          <w:tcPr>
            <w:tcW w:w="1237" w:type="dxa"/>
            <w:vAlign w:val="top"/>
          </w:tcPr>
          <w:p w14:paraId="3272745F">
            <w:pPr>
              <w:pStyle w:val="6"/>
              <w:spacing w:before="146" w:line="224" w:lineRule="auto"/>
              <w:ind w:left="173"/>
            </w:pPr>
            <w:r>
              <w:t>0</w:t>
            </w:r>
            <w:r>
              <w:rPr>
                <w:spacing w:val="-27"/>
              </w:rPr>
              <w:t xml:space="preserve"> </w:t>
            </w:r>
            <w:r>
              <w:t>万立方米</w:t>
            </w:r>
          </w:p>
        </w:tc>
        <w:tc>
          <w:tcPr>
            <w:tcW w:w="1392" w:type="dxa"/>
            <w:vAlign w:val="top"/>
          </w:tcPr>
          <w:p w14:paraId="466694B5">
            <w:pPr>
              <w:rPr>
                <w:rFonts w:ascii="Arial"/>
                <w:sz w:val="21"/>
              </w:rPr>
            </w:pPr>
          </w:p>
        </w:tc>
      </w:tr>
      <w:tr w14:paraId="163A5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1057" w:type="dxa"/>
            <w:vAlign w:val="top"/>
          </w:tcPr>
          <w:p w14:paraId="1D7A34A9">
            <w:pPr>
              <w:pStyle w:val="6"/>
              <w:spacing w:before="147" w:line="255" w:lineRule="auto"/>
              <w:ind w:left="452" w:right="114" w:hanging="306"/>
            </w:pPr>
            <w:r>
              <w:rPr>
                <w:spacing w:val="7"/>
              </w:rPr>
              <w:t>建筑用砂</w:t>
            </w:r>
            <w:r>
              <w:t>石</w:t>
            </w:r>
          </w:p>
        </w:tc>
        <w:tc>
          <w:tcPr>
            <w:tcW w:w="719" w:type="dxa"/>
            <w:gridSpan w:val="2"/>
            <w:vAlign w:val="top"/>
          </w:tcPr>
          <w:p w14:paraId="4E9D263F">
            <w:pPr>
              <w:pStyle w:val="6"/>
              <w:spacing w:before="277" w:line="242" w:lineRule="auto"/>
              <w:ind w:left="335"/>
            </w:pPr>
            <w:r>
              <w:t>3</w:t>
            </w:r>
          </w:p>
        </w:tc>
        <w:tc>
          <w:tcPr>
            <w:tcW w:w="672" w:type="dxa"/>
            <w:vAlign w:val="top"/>
          </w:tcPr>
          <w:p w14:paraId="487E4DA2">
            <w:pPr>
              <w:pStyle w:val="6"/>
              <w:spacing w:before="277" w:line="242" w:lineRule="auto"/>
              <w:ind w:left="312"/>
            </w:pPr>
            <w:r>
              <w:t>3</w:t>
            </w:r>
          </w:p>
        </w:tc>
        <w:tc>
          <w:tcPr>
            <w:tcW w:w="1400" w:type="dxa"/>
            <w:vAlign w:val="top"/>
          </w:tcPr>
          <w:p w14:paraId="50D1FAF2">
            <w:pPr>
              <w:spacing w:line="304" w:lineRule="auto"/>
              <w:rPr>
                <w:rFonts w:ascii="Arial"/>
                <w:sz w:val="21"/>
              </w:rPr>
            </w:pPr>
          </w:p>
          <w:p w14:paraId="15A3B467">
            <w:pPr>
              <w:pStyle w:val="6"/>
              <w:spacing w:before="62" w:line="130" w:lineRule="exact"/>
              <w:ind w:left="659"/>
            </w:pPr>
            <w:r>
              <w:rPr>
                <w:position w:val="-3"/>
              </w:rPr>
              <w:t>-</w:t>
            </w:r>
          </w:p>
        </w:tc>
        <w:tc>
          <w:tcPr>
            <w:tcW w:w="1391" w:type="dxa"/>
            <w:vAlign w:val="top"/>
          </w:tcPr>
          <w:p w14:paraId="3D986967">
            <w:pPr>
              <w:spacing w:line="304" w:lineRule="auto"/>
              <w:rPr>
                <w:rFonts w:ascii="Arial"/>
                <w:sz w:val="21"/>
              </w:rPr>
            </w:pPr>
          </w:p>
          <w:p w14:paraId="7D482A9B">
            <w:pPr>
              <w:pStyle w:val="6"/>
              <w:spacing w:before="62" w:line="130" w:lineRule="exact"/>
              <w:ind w:left="661"/>
            </w:pPr>
            <w:r>
              <w:rPr>
                <w:position w:val="-3"/>
              </w:rPr>
              <w:t>-</w:t>
            </w:r>
          </w:p>
        </w:tc>
        <w:tc>
          <w:tcPr>
            <w:tcW w:w="1559" w:type="dxa"/>
            <w:vAlign w:val="top"/>
          </w:tcPr>
          <w:p w14:paraId="5E8C8752">
            <w:pPr>
              <w:pStyle w:val="6"/>
              <w:spacing w:before="146" w:line="253" w:lineRule="auto"/>
              <w:ind w:left="698" w:right="94" w:hanging="565"/>
            </w:pPr>
            <w:r>
              <w:rPr>
                <w:spacing w:val="1"/>
              </w:rPr>
              <w:t>18.5</w:t>
            </w:r>
            <w:r>
              <w:rPr>
                <w:spacing w:val="-14"/>
              </w:rPr>
              <w:t xml:space="preserve"> </w:t>
            </w:r>
            <w:r>
              <w:rPr>
                <w:spacing w:val="1"/>
              </w:rPr>
              <w:t>万立方米/</w:t>
            </w:r>
            <w:r>
              <w:t>年</w:t>
            </w:r>
          </w:p>
        </w:tc>
        <w:tc>
          <w:tcPr>
            <w:tcW w:w="1237" w:type="dxa"/>
            <w:vAlign w:val="top"/>
          </w:tcPr>
          <w:p w14:paraId="7810543E">
            <w:pPr>
              <w:pStyle w:val="6"/>
              <w:spacing w:before="146" w:line="253" w:lineRule="auto"/>
              <w:ind w:left="539" w:right="91" w:hanging="407"/>
            </w:pPr>
            <w:r>
              <w:rPr>
                <w:spacing w:val="1"/>
              </w:rPr>
              <w:t>3.77</w:t>
            </w:r>
            <w:r>
              <w:rPr>
                <w:spacing w:val="-45"/>
              </w:rPr>
              <w:t xml:space="preserve"> </w:t>
            </w:r>
            <w:r>
              <w:rPr>
                <w:spacing w:val="1"/>
              </w:rPr>
              <w:t>万立方</w:t>
            </w:r>
            <w:r>
              <w:t>米</w:t>
            </w:r>
          </w:p>
        </w:tc>
        <w:tc>
          <w:tcPr>
            <w:tcW w:w="1392" w:type="dxa"/>
            <w:vAlign w:val="top"/>
          </w:tcPr>
          <w:p w14:paraId="0C12C34F">
            <w:pPr>
              <w:pStyle w:val="6"/>
              <w:spacing w:before="22" w:line="225" w:lineRule="auto"/>
              <w:ind w:left="205"/>
            </w:pPr>
            <w:r>
              <w:rPr>
                <w:spacing w:val="8"/>
              </w:rPr>
              <w:t>含建筑用大</w:t>
            </w:r>
          </w:p>
          <w:p w14:paraId="4F44DD0E">
            <w:pPr>
              <w:pStyle w:val="6"/>
              <w:spacing w:before="22" w:line="225" w:lineRule="auto"/>
              <w:ind w:left="120"/>
            </w:pPr>
            <w:r>
              <w:rPr>
                <w:spacing w:val="5"/>
              </w:rPr>
              <w:t>理岩、建筑用</w:t>
            </w:r>
          </w:p>
          <w:p w14:paraId="60614C8E">
            <w:pPr>
              <w:pStyle w:val="6"/>
              <w:spacing w:before="26" w:line="222" w:lineRule="auto"/>
              <w:ind w:left="412"/>
            </w:pPr>
            <w:r>
              <w:rPr>
                <w:spacing w:val="5"/>
              </w:rPr>
              <w:t>花岗岩</w:t>
            </w:r>
          </w:p>
        </w:tc>
      </w:tr>
      <w:tr w14:paraId="398E1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057" w:type="dxa"/>
            <w:vAlign w:val="top"/>
          </w:tcPr>
          <w:p w14:paraId="4C382A12">
            <w:pPr>
              <w:pStyle w:val="6"/>
              <w:spacing w:before="152" w:line="224" w:lineRule="auto"/>
              <w:ind w:left="343"/>
            </w:pPr>
            <w:r>
              <w:rPr>
                <w:spacing w:val="6"/>
              </w:rPr>
              <w:t>地热</w:t>
            </w:r>
          </w:p>
        </w:tc>
        <w:tc>
          <w:tcPr>
            <w:tcW w:w="719" w:type="dxa"/>
            <w:gridSpan w:val="2"/>
            <w:vAlign w:val="top"/>
          </w:tcPr>
          <w:p w14:paraId="5BC10696">
            <w:pPr>
              <w:pStyle w:val="6"/>
              <w:spacing w:before="152" w:line="251" w:lineRule="exact"/>
              <w:ind w:left="332"/>
            </w:pPr>
            <w:r>
              <w:rPr>
                <w:position w:val="1"/>
              </w:rPr>
              <w:t>1</w:t>
            </w:r>
          </w:p>
        </w:tc>
        <w:tc>
          <w:tcPr>
            <w:tcW w:w="672" w:type="dxa"/>
            <w:vAlign w:val="top"/>
          </w:tcPr>
          <w:p w14:paraId="6689C645">
            <w:pPr>
              <w:pStyle w:val="6"/>
              <w:spacing w:before="152" w:line="251" w:lineRule="exact"/>
              <w:ind w:left="309"/>
            </w:pPr>
            <w:r>
              <w:rPr>
                <w:position w:val="1"/>
              </w:rPr>
              <w:t>1</w:t>
            </w:r>
          </w:p>
        </w:tc>
        <w:tc>
          <w:tcPr>
            <w:tcW w:w="1400" w:type="dxa"/>
            <w:vAlign w:val="top"/>
          </w:tcPr>
          <w:p w14:paraId="077ACF0C">
            <w:pPr>
              <w:pStyle w:val="6"/>
              <w:spacing w:before="243" w:line="130" w:lineRule="exact"/>
              <w:ind w:left="659"/>
            </w:pPr>
            <w:r>
              <w:rPr>
                <w:position w:val="-3"/>
              </w:rPr>
              <w:t>-</w:t>
            </w:r>
          </w:p>
        </w:tc>
        <w:tc>
          <w:tcPr>
            <w:tcW w:w="1391" w:type="dxa"/>
            <w:vAlign w:val="top"/>
          </w:tcPr>
          <w:p w14:paraId="5159D1BB">
            <w:pPr>
              <w:pStyle w:val="6"/>
              <w:spacing w:before="243" w:line="130" w:lineRule="exact"/>
              <w:ind w:left="661"/>
            </w:pPr>
            <w:r>
              <w:rPr>
                <w:position w:val="-3"/>
              </w:rPr>
              <w:t>-</w:t>
            </w:r>
          </w:p>
        </w:tc>
        <w:tc>
          <w:tcPr>
            <w:tcW w:w="1559" w:type="dxa"/>
            <w:vAlign w:val="top"/>
          </w:tcPr>
          <w:p w14:paraId="3C4E018C">
            <w:pPr>
              <w:pStyle w:val="6"/>
              <w:spacing w:before="152" w:line="224" w:lineRule="auto"/>
              <w:ind w:left="133"/>
            </w:pPr>
            <w:r>
              <w:rPr>
                <w:spacing w:val="3"/>
              </w:rPr>
              <w:t>16</w:t>
            </w:r>
            <w:r>
              <w:rPr>
                <w:spacing w:val="-27"/>
              </w:rPr>
              <w:t xml:space="preserve"> </w:t>
            </w:r>
            <w:r>
              <w:rPr>
                <w:spacing w:val="3"/>
              </w:rPr>
              <w:t>万立方米/年</w:t>
            </w:r>
          </w:p>
        </w:tc>
        <w:tc>
          <w:tcPr>
            <w:tcW w:w="1237" w:type="dxa"/>
            <w:vAlign w:val="top"/>
          </w:tcPr>
          <w:p w14:paraId="671930B2">
            <w:pPr>
              <w:pStyle w:val="6"/>
              <w:spacing w:before="22" w:line="238" w:lineRule="auto"/>
              <w:ind w:left="536" w:right="93" w:hanging="410"/>
            </w:pPr>
            <w:r>
              <w:rPr>
                <w:spacing w:val="1"/>
              </w:rPr>
              <w:t>8</w:t>
            </w:r>
            <w:r>
              <w:rPr>
                <w:spacing w:val="-40"/>
              </w:rPr>
              <w:t xml:space="preserve"> </w:t>
            </w:r>
            <w:r>
              <w:rPr>
                <w:spacing w:val="1"/>
              </w:rPr>
              <w:t>万立方米/</w:t>
            </w:r>
            <w:r>
              <w:t>年</w:t>
            </w:r>
          </w:p>
        </w:tc>
        <w:tc>
          <w:tcPr>
            <w:tcW w:w="1392" w:type="dxa"/>
            <w:vAlign w:val="top"/>
          </w:tcPr>
          <w:p w14:paraId="2D989B66">
            <w:pPr>
              <w:pStyle w:val="6"/>
              <w:spacing w:before="22" w:line="224" w:lineRule="auto"/>
              <w:ind w:left="125"/>
            </w:pPr>
            <w:r>
              <w:rPr>
                <w:spacing w:val="-2"/>
              </w:rPr>
              <w:t>2021</w:t>
            </w:r>
            <w:r>
              <w:rPr>
                <w:spacing w:val="-54"/>
              </w:rPr>
              <w:t xml:space="preserve"> </w:t>
            </w:r>
            <w:r>
              <w:rPr>
                <w:spacing w:val="-2"/>
              </w:rPr>
              <w:t>年</w:t>
            </w:r>
            <w:r>
              <w:rPr>
                <w:spacing w:val="-50"/>
              </w:rPr>
              <w:t xml:space="preserve"> </w:t>
            </w:r>
            <w:r>
              <w:rPr>
                <w:spacing w:val="-2"/>
              </w:rPr>
              <w:t>6</w:t>
            </w:r>
            <w:r>
              <w:rPr>
                <w:spacing w:val="-46"/>
              </w:rPr>
              <w:t xml:space="preserve"> </w:t>
            </w:r>
            <w:r>
              <w:rPr>
                <w:spacing w:val="-2"/>
              </w:rPr>
              <w:t>月投</w:t>
            </w:r>
          </w:p>
          <w:p w14:paraId="69B42E77">
            <w:pPr>
              <w:pStyle w:val="6"/>
              <w:spacing w:before="29" w:line="223" w:lineRule="auto"/>
              <w:ind w:left="607"/>
            </w:pPr>
            <w:r>
              <w:t>产</w:t>
            </w:r>
          </w:p>
        </w:tc>
      </w:tr>
      <w:tr w14:paraId="4C966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57" w:type="dxa"/>
            <w:vAlign w:val="top"/>
          </w:tcPr>
          <w:p w14:paraId="6A03B639">
            <w:pPr>
              <w:pStyle w:val="6"/>
              <w:spacing w:before="153" w:line="224" w:lineRule="auto"/>
              <w:ind w:left="247"/>
            </w:pPr>
            <w:r>
              <w:rPr>
                <w:spacing w:val="6"/>
              </w:rPr>
              <w:t>矿泉水</w:t>
            </w:r>
          </w:p>
        </w:tc>
        <w:tc>
          <w:tcPr>
            <w:tcW w:w="719" w:type="dxa"/>
            <w:gridSpan w:val="2"/>
            <w:vAlign w:val="top"/>
          </w:tcPr>
          <w:p w14:paraId="618FB688">
            <w:pPr>
              <w:pStyle w:val="6"/>
              <w:spacing w:before="153" w:line="251" w:lineRule="exact"/>
              <w:ind w:left="332"/>
            </w:pPr>
            <w:r>
              <w:rPr>
                <w:position w:val="1"/>
              </w:rPr>
              <w:t>1</w:t>
            </w:r>
          </w:p>
        </w:tc>
        <w:tc>
          <w:tcPr>
            <w:tcW w:w="672" w:type="dxa"/>
            <w:vAlign w:val="top"/>
          </w:tcPr>
          <w:p w14:paraId="268797D7">
            <w:pPr>
              <w:pStyle w:val="6"/>
              <w:spacing w:before="153" w:line="251" w:lineRule="exact"/>
              <w:ind w:left="309"/>
            </w:pPr>
            <w:r>
              <w:rPr>
                <w:position w:val="1"/>
              </w:rPr>
              <w:t>1</w:t>
            </w:r>
          </w:p>
        </w:tc>
        <w:tc>
          <w:tcPr>
            <w:tcW w:w="1400" w:type="dxa"/>
            <w:vAlign w:val="top"/>
          </w:tcPr>
          <w:p w14:paraId="71AB1E13">
            <w:pPr>
              <w:pStyle w:val="6"/>
              <w:spacing w:before="244" w:line="130" w:lineRule="exact"/>
              <w:ind w:left="659"/>
            </w:pPr>
            <w:r>
              <w:rPr>
                <w:position w:val="-3"/>
              </w:rPr>
              <w:t>-</w:t>
            </w:r>
          </w:p>
        </w:tc>
        <w:tc>
          <w:tcPr>
            <w:tcW w:w="1391" w:type="dxa"/>
            <w:vAlign w:val="top"/>
          </w:tcPr>
          <w:p w14:paraId="1533B525">
            <w:pPr>
              <w:pStyle w:val="6"/>
              <w:spacing w:before="244" w:line="130" w:lineRule="exact"/>
              <w:ind w:left="661"/>
            </w:pPr>
            <w:r>
              <w:rPr>
                <w:position w:val="-3"/>
              </w:rPr>
              <w:t>-</w:t>
            </w:r>
          </w:p>
        </w:tc>
        <w:tc>
          <w:tcPr>
            <w:tcW w:w="1559" w:type="dxa"/>
            <w:vAlign w:val="top"/>
          </w:tcPr>
          <w:p w14:paraId="65A2C0CF">
            <w:pPr>
              <w:pStyle w:val="6"/>
              <w:spacing w:before="23" w:line="242" w:lineRule="auto"/>
              <w:ind w:left="698" w:right="142" w:hanging="516"/>
            </w:pPr>
            <w:r>
              <w:rPr>
                <w:spacing w:val="2"/>
              </w:rPr>
              <w:t>0.5</w:t>
            </w:r>
            <w:r>
              <w:rPr>
                <w:spacing w:val="-24"/>
              </w:rPr>
              <w:t xml:space="preserve"> </w:t>
            </w:r>
            <w:r>
              <w:rPr>
                <w:spacing w:val="2"/>
              </w:rPr>
              <w:t>万立方米/</w:t>
            </w:r>
            <w:r>
              <w:t>年</w:t>
            </w:r>
          </w:p>
        </w:tc>
        <w:tc>
          <w:tcPr>
            <w:tcW w:w="1237" w:type="dxa"/>
            <w:vAlign w:val="top"/>
          </w:tcPr>
          <w:p w14:paraId="082D11B9">
            <w:pPr>
              <w:pStyle w:val="6"/>
              <w:spacing w:before="23" w:line="242" w:lineRule="auto"/>
              <w:ind w:left="390" w:right="134" w:hanging="217"/>
            </w:pPr>
            <w:r>
              <w:t>0.3</w:t>
            </w:r>
            <w:r>
              <w:rPr>
                <w:spacing w:val="-27"/>
              </w:rPr>
              <w:t xml:space="preserve"> </w:t>
            </w:r>
            <w:r>
              <w:t>万立方</w:t>
            </w:r>
            <w:r>
              <w:rPr>
                <w:spacing w:val="2"/>
              </w:rPr>
              <w:t>米/年</w:t>
            </w:r>
          </w:p>
        </w:tc>
        <w:tc>
          <w:tcPr>
            <w:tcW w:w="1392" w:type="dxa"/>
            <w:vAlign w:val="top"/>
          </w:tcPr>
          <w:p w14:paraId="49A76849">
            <w:pPr>
              <w:rPr>
                <w:rFonts w:ascii="Arial"/>
                <w:sz w:val="21"/>
              </w:rPr>
            </w:pPr>
          </w:p>
        </w:tc>
      </w:tr>
    </w:tbl>
    <w:p w14:paraId="4CB83F4A">
      <w:pPr>
        <w:spacing w:before="93" w:line="218" w:lineRule="auto"/>
        <w:ind w:left="960"/>
        <w:rPr>
          <w:rFonts w:ascii="仿宋" w:hAnsi="仿宋" w:eastAsia="仿宋" w:cs="仿宋"/>
          <w:sz w:val="21"/>
          <w:szCs w:val="21"/>
        </w:rPr>
      </w:pPr>
      <w:r>
        <w:rPr>
          <w:rFonts w:ascii="仿宋" w:hAnsi="仿宋" w:eastAsia="仿宋" w:cs="仿宋"/>
          <w:spacing w:val="-5"/>
          <w:sz w:val="21"/>
          <w:szCs w:val="21"/>
        </w:rPr>
        <w:t>注：数据截止日为</w:t>
      </w:r>
      <w:r>
        <w:rPr>
          <w:rFonts w:ascii="仿宋" w:hAnsi="仿宋" w:eastAsia="仿宋" w:cs="仿宋"/>
          <w:spacing w:val="-28"/>
          <w:sz w:val="21"/>
          <w:szCs w:val="21"/>
        </w:rPr>
        <w:t xml:space="preserve"> </w:t>
      </w:r>
      <w:r>
        <w:rPr>
          <w:rFonts w:ascii="仿宋" w:hAnsi="仿宋" w:eastAsia="仿宋" w:cs="仿宋"/>
          <w:spacing w:val="-5"/>
          <w:sz w:val="21"/>
          <w:szCs w:val="21"/>
        </w:rPr>
        <w:t>2020</w:t>
      </w:r>
      <w:r>
        <w:rPr>
          <w:rFonts w:ascii="仿宋" w:hAnsi="仿宋" w:eastAsia="仿宋" w:cs="仿宋"/>
          <w:spacing w:val="-41"/>
          <w:sz w:val="21"/>
          <w:szCs w:val="21"/>
        </w:rPr>
        <w:t xml:space="preserve"> </w:t>
      </w:r>
      <w:r>
        <w:rPr>
          <w:rFonts w:ascii="仿宋" w:hAnsi="仿宋" w:eastAsia="仿宋" w:cs="仿宋"/>
          <w:spacing w:val="-5"/>
          <w:sz w:val="21"/>
          <w:szCs w:val="21"/>
        </w:rPr>
        <w:t>年</w:t>
      </w:r>
      <w:r>
        <w:rPr>
          <w:rFonts w:ascii="仿宋" w:hAnsi="仿宋" w:eastAsia="仿宋" w:cs="仿宋"/>
          <w:spacing w:val="-31"/>
          <w:sz w:val="21"/>
          <w:szCs w:val="21"/>
        </w:rPr>
        <w:t xml:space="preserve"> </w:t>
      </w:r>
      <w:r>
        <w:rPr>
          <w:rFonts w:ascii="仿宋" w:hAnsi="仿宋" w:eastAsia="仿宋" w:cs="仿宋"/>
          <w:spacing w:val="-5"/>
          <w:sz w:val="21"/>
          <w:szCs w:val="21"/>
        </w:rPr>
        <w:t>12</w:t>
      </w:r>
      <w:r>
        <w:rPr>
          <w:rFonts w:ascii="仿宋" w:hAnsi="仿宋" w:eastAsia="仿宋" w:cs="仿宋"/>
          <w:spacing w:val="-33"/>
          <w:sz w:val="21"/>
          <w:szCs w:val="21"/>
        </w:rPr>
        <w:t xml:space="preserve"> </w:t>
      </w:r>
      <w:r>
        <w:rPr>
          <w:rFonts w:ascii="仿宋" w:hAnsi="仿宋" w:eastAsia="仿宋" w:cs="仿宋"/>
          <w:spacing w:val="-5"/>
          <w:sz w:val="21"/>
          <w:szCs w:val="21"/>
        </w:rPr>
        <w:t>月底，地热为</w:t>
      </w:r>
      <w:r>
        <w:rPr>
          <w:rFonts w:ascii="仿宋" w:hAnsi="仿宋" w:eastAsia="仿宋" w:cs="仿宋"/>
          <w:spacing w:val="-36"/>
          <w:sz w:val="21"/>
          <w:szCs w:val="21"/>
        </w:rPr>
        <w:t xml:space="preserve"> </w:t>
      </w:r>
      <w:r>
        <w:rPr>
          <w:rFonts w:ascii="仿宋" w:hAnsi="仿宋" w:eastAsia="仿宋" w:cs="仿宋"/>
          <w:spacing w:val="-5"/>
          <w:sz w:val="21"/>
          <w:szCs w:val="21"/>
        </w:rPr>
        <w:t>2021</w:t>
      </w:r>
      <w:r>
        <w:rPr>
          <w:rFonts w:ascii="仿宋" w:hAnsi="仿宋" w:eastAsia="仿宋" w:cs="仿宋"/>
          <w:spacing w:val="-41"/>
          <w:sz w:val="21"/>
          <w:szCs w:val="21"/>
        </w:rPr>
        <w:t xml:space="preserve"> </w:t>
      </w:r>
      <w:r>
        <w:rPr>
          <w:rFonts w:ascii="仿宋" w:hAnsi="仿宋" w:eastAsia="仿宋" w:cs="仿宋"/>
          <w:spacing w:val="-5"/>
          <w:sz w:val="21"/>
          <w:szCs w:val="21"/>
        </w:rPr>
        <w:t>年</w:t>
      </w:r>
      <w:r>
        <w:rPr>
          <w:rFonts w:ascii="仿宋" w:hAnsi="仿宋" w:eastAsia="仿宋" w:cs="仿宋"/>
          <w:spacing w:val="-31"/>
          <w:sz w:val="21"/>
          <w:szCs w:val="21"/>
        </w:rPr>
        <w:t xml:space="preserve"> </w:t>
      </w:r>
      <w:r>
        <w:rPr>
          <w:rFonts w:ascii="仿宋" w:hAnsi="仿宋" w:eastAsia="仿宋" w:cs="仿宋"/>
          <w:spacing w:val="-5"/>
          <w:sz w:val="21"/>
          <w:szCs w:val="21"/>
        </w:rPr>
        <w:t>12</w:t>
      </w:r>
      <w:r>
        <w:rPr>
          <w:rFonts w:ascii="仿宋" w:hAnsi="仿宋" w:eastAsia="仿宋" w:cs="仿宋"/>
          <w:spacing w:val="-33"/>
          <w:sz w:val="21"/>
          <w:szCs w:val="21"/>
        </w:rPr>
        <w:t xml:space="preserve"> </w:t>
      </w:r>
      <w:r>
        <w:rPr>
          <w:rFonts w:ascii="仿宋" w:hAnsi="仿宋" w:eastAsia="仿宋" w:cs="仿宋"/>
          <w:spacing w:val="-5"/>
          <w:sz w:val="21"/>
          <w:szCs w:val="21"/>
        </w:rPr>
        <w:t>月底，</w:t>
      </w:r>
      <w:r>
        <w:rPr>
          <w:rFonts w:ascii="仿宋" w:hAnsi="仿宋" w:eastAsia="仿宋" w:cs="仿宋"/>
          <w:spacing w:val="-69"/>
          <w:sz w:val="21"/>
          <w:szCs w:val="21"/>
        </w:rPr>
        <w:t xml:space="preserve"> </w:t>
      </w:r>
      <w:r>
        <w:rPr>
          <w:rFonts w:ascii="仿宋" w:hAnsi="仿宋" w:eastAsia="仿宋" w:cs="仿宋"/>
          <w:spacing w:val="-5"/>
          <w:sz w:val="21"/>
          <w:szCs w:val="21"/>
        </w:rPr>
        <w:t>“-”为数据涉密。</w:t>
      </w:r>
    </w:p>
    <w:p w14:paraId="0C8F5D3E">
      <w:pPr>
        <w:pStyle w:val="2"/>
        <w:spacing w:line="401" w:lineRule="auto"/>
      </w:pPr>
    </w:p>
    <w:p w14:paraId="68AB0B54">
      <w:pPr>
        <w:spacing w:before="101" w:line="373" w:lineRule="auto"/>
        <w:ind w:left="547" w:right="605" w:firstLine="633"/>
        <w:rPr>
          <w:rFonts w:ascii="仿宋" w:hAnsi="仿宋" w:eastAsia="仿宋" w:cs="仿宋"/>
          <w:sz w:val="31"/>
          <w:szCs w:val="31"/>
        </w:rPr>
      </w:pPr>
      <w:r>
        <w:rPr>
          <w:rFonts w:ascii="仿宋" w:hAnsi="仿宋" w:eastAsia="仿宋" w:cs="仿宋"/>
          <w:spacing w:val="7"/>
          <w:sz w:val="31"/>
          <w:szCs w:val="31"/>
        </w:rPr>
        <w:t>截至2020年底，全州共设置有效探矿权30个，勘查矿种为锂、金、钼、钨、铜、铁、地热。登记面积499.82平方千</w:t>
      </w:r>
    </w:p>
    <w:p w14:paraId="4D03BC40">
      <w:pPr>
        <w:spacing w:line="373" w:lineRule="auto"/>
        <w:rPr>
          <w:rFonts w:ascii="仿宋" w:hAnsi="仿宋" w:eastAsia="仿宋" w:cs="仿宋"/>
          <w:sz w:val="31"/>
          <w:szCs w:val="31"/>
        </w:rPr>
        <w:sectPr>
          <w:footerReference r:id="rId10" w:type="default"/>
          <w:pgSz w:w="11904" w:h="16835"/>
          <w:pgMar w:top="1430" w:right="1196" w:bottom="1289" w:left="1274" w:header="0" w:footer="920" w:gutter="0"/>
          <w:cols w:space="720" w:num="1"/>
        </w:sectPr>
      </w:pPr>
    </w:p>
    <w:p w14:paraId="10BB3124">
      <w:pPr>
        <w:spacing w:before="137" w:line="372" w:lineRule="auto"/>
        <w:ind w:left="72" w:right="44" w:firstLine="8"/>
        <w:jc w:val="both"/>
        <w:rPr>
          <w:rFonts w:ascii="仿宋" w:hAnsi="仿宋" w:eastAsia="仿宋" w:cs="仿宋"/>
          <w:sz w:val="31"/>
          <w:szCs w:val="31"/>
        </w:rPr>
      </w:pPr>
      <w:r>
        <w:rPr>
          <w:rFonts w:ascii="仿宋" w:hAnsi="仿宋" w:eastAsia="仿宋" w:cs="仿宋"/>
          <w:spacing w:val="-3"/>
          <w:sz w:val="31"/>
          <w:szCs w:val="31"/>
        </w:rPr>
        <w:t>米，占全州国土面积的0.602%。已设有效采矿权27宗。其中，</w:t>
      </w:r>
      <w:r>
        <w:rPr>
          <w:rFonts w:ascii="仿宋" w:hAnsi="仿宋" w:eastAsia="仿宋" w:cs="仿宋"/>
          <w:spacing w:val="8"/>
          <w:sz w:val="31"/>
          <w:szCs w:val="31"/>
        </w:rPr>
        <w:t>自然资源部登记采矿权5个、省级登记采矿权9个、州级登记</w:t>
      </w:r>
      <w:bookmarkStart w:id="5" w:name="bookmark5"/>
      <w:bookmarkEnd w:id="5"/>
      <w:r>
        <w:rPr>
          <w:rFonts w:ascii="仿宋" w:hAnsi="仿宋" w:eastAsia="仿宋" w:cs="仿宋"/>
          <w:spacing w:val="7"/>
          <w:sz w:val="31"/>
          <w:szCs w:val="31"/>
        </w:rPr>
        <w:t>采矿权12个、县级登记采矿权1个。</w:t>
      </w:r>
    </w:p>
    <w:p w14:paraId="1DBC5C91">
      <w:pPr>
        <w:pStyle w:val="2"/>
        <w:spacing w:line="253" w:lineRule="auto"/>
      </w:pPr>
    </w:p>
    <w:p w14:paraId="55A1A336">
      <w:pPr>
        <w:pStyle w:val="2"/>
        <w:spacing w:line="254" w:lineRule="auto"/>
      </w:pPr>
    </w:p>
    <w:p w14:paraId="15B47421">
      <w:pPr>
        <w:pStyle w:val="2"/>
        <w:spacing w:line="254" w:lineRule="auto"/>
      </w:pPr>
    </w:p>
    <w:p w14:paraId="0CD028E7">
      <w:pPr>
        <w:spacing w:before="129" w:line="321" w:lineRule="exact"/>
        <w:ind w:left="1940"/>
        <w:outlineLvl w:val="1"/>
        <w:rPr>
          <w:rFonts w:ascii="微软雅黑" w:hAnsi="微软雅黑" w:eastAsia="微软雅黑" w:cs="微软雅黑"/>
          <w:sz w:val="30"/>
          <w:szCs w:val="30"/>
        </w:rPr>
      </w:pPr>
      <w:r>
        <w:rPr>
          <w:rFonts w:ascii="微软雅黑" w:hAnsi="微软雅黑" w:eastAsia="微软雅黑" w:cs="微软雅黑"/>
          <w:spacing w:val="14"/>
          <w:position w:val="-1"/>
          <w:sz w:val="30"/>
          <w:szCs w:val="30"/>
        </w:rPr>
        <w:t>第三节</w:t>
      </w:r>
      <w:r>
        <w:rPr>
          <w:rFonts w:ascii="微软雅黑" w:hAnsi="微软雅黑" w:eastAsia="微软雅黑" w:cs="微软雅黑"/>
          <w:spacing w:val="3"/>
          <w:position w:val="-1"/>
          <w:sz w:val="30"/>
          <w:szCs w:val="30"/>
        </w:rPr>
        <w:t xml:space="preserve">  </w:t>
      </w:r>
      <w:r>
        <w:rPr>
          <w:rFonts w:ascii="微软雅黑" w:hAnsi="微软雅黑" w:eastAsia="微软雅黑" w:cs="微软雅黑"/>
          <w:spacing w:val="14"/>
          <w:position w:val="-1"/>
          <w:sz w:val="30"/>
          <w:szCs w:val="30"/>
        </w:rPr>
        <w:t>上轮矿产资源规划的实施成效</w:t>
      </w:r>
    </w:p>
    <w:p w14:paraId="198333E9">
      <w:pPr>
        <w:pStyle w:val="2"/>
      </w:pPr>
    </w:p>
    <w:p w14:paraId="19EC8095">
      <w:pPr>
        <w:pStyle w:val="2"/>
        <w:spacing w:line="241" w:lineRule="auto"/>
      </w:pPr>
    </w:p>
    <w:p w14:paraId="3DB0426B">
      <w:pPr>
        <w:spacing w:before="101" w:line="372" w:lineRule="auto"/>
        <w:ind w:left="72" w:right="50" w:firstLine="629"/>
        <w:jc w:val="both"/>
        <w:rPr>
          <w:rFonts w:ascii="仿宋" w:hAnsi="仿宋" w:eastAsia="仿宋" w:cs="仿宋"/>
          <w:sz w:val="31"/>
          <w:szCs w:val="31"/>
        </w:rPr>
      </w:pPr>
      <w:r>
        <w:rPr>
          <w:rFonts w:ascii="仿宋" w:hAnsi="仿宋" w:eastAsia="仿宋" w:cs="仿宋"/>
          <w:spacing w:val="5"/>
          <w:sz w:val="31"/>
          <w:szCs w:val="31"/>
        </w:rPr>
        <w:t>《阿坝藏族羌族自治州矿产资源总体规划（</w:t>
      </w:r>
      <w:r>
        <w:rPr>
          <w:rFonts w:ascii="仿宋" w:hAnsi="仿宋" w:eastAsia="仿宋" w:cs="仿宋"/>
          <w:spacing w:val="-65"/>
          <w:sz w:val="31"/>
          <w:szCs w:val="31"/>
        </w:rPr>
        <w:t xml:space="preserve"> </w:t>
      </w:r>
      <w:r>
        <w:rPr>
          <w:rFonts w:ascii="仿宋" w:hAnsi="仿宋" w:eastAsia="仿宋" w:cs="仿宋"/>
          <w:spacing w:val="5"/>
          <w:sz w:val="31"/>
          <w:szCs w:val="31"/>
        </w:rPr>
        <w:t>2016-2020</w:t>
      </w:r>
      <w:r>
        <w:rPr>
          <w:rFonts w:ascii="仿宋" w:hAnsi="仿宋" w:eastAsia="仿宋" w:cs="仿宋"/>
          <w:spacing w:val="3"/>
          <w:sz w:val="31"/>
          <w:szCs w:val="31"/>
        </w:rPr>
        <w:t>年）》（</w:t>
      </w:r>
      <w:r>
        <w:rPr>
          <w:rFonts w:ascii="仿宋" w:hAnsi="仿宋" w:eastAsia="仿宋" w:cs="仿宋"/>
          <w:spacing w:val="-52"/>
          <w:sz w:val="31"/>
          <w:szCs w:val="31"/>
        </w:rPr>
        <w:t xml:space="preserve"> </w:t>
      </w:r>
      <w:r>
        <w:rPr>
          <w:rFonts w:ascii="仿宋" w:hAnsi="仿宋" w:eastAsia="仿宋" w:cs="仿宋"/>
          <w:spacing w:val="3"/>
          <w:sz w:val="31"/>
          <w:szCs w:val="31"/>
        </w:rPr>
        <w:t>以下简称</w:t>
      </w:r>
      <w:r>
        <w:rPr>
          <w:rFonts w:ascii="仿宋" w:hAnsi="仿宋" w:eastAsia="仿宋" w:cs="仿宋"/>
          <w:spacing w:val="-106"/>
          <w:sz w:val="31"/>
          <w:szCs w:val="31"/>
        </w:rPr>
        <w:t xml:space="preserve"> </w:t>
      </w:r>
      <w:r>
        <w:rPr>
          <w:rFonts w:ascii="仿宋" w:hAnsi="仿宋" w:eastAsia="仿宋" w:cs="仿宋"/>
          <w:spacing w:val="3"/>
          <w:sz w:val="31"/>
          <w:szCs w:val="31"/>
        </w:rPr>
        <w:t>“上一轮《规划》”）发布实施以来</w:t>
      </w:r>
      <w:r>
        <w:rPr>
          <w:rFonts w:ascii="仿宋" w:hAnsi="仿宋" w:eastAsia="仿宋" w:cs="仿宋"/>
          <w:spacing w:val="2"/>
          <w:sz w:val="31"/>
          <w:szCs w:val="31"/>
        </w:rPr>
        <w:t>，在</w:t>
      </w:r>
      <w:r>
        <w:rPr>
          <w:rFonts w:ascii="仿宋" w:hAnsi="仿宋" w:eastAsia="仿宋" w:cs="仿宋"/>
          <w:spacing w:val="9"/>
          <w:sz w:val="31"/>
          <w:szCs w:val="31"/>
        </w:rPr>
        <w:t>优化资源开发保护格局、强化资源保护合理利</w:t>
      </w:r>
      <w:r>
        <w:rPr>
          <w:rFonts w:ascii="仿宋" w:hAnsi="仿宋" w:eastAsia="仿宋" w:cs="仿宋"/>
          <w:spacing w:val="8"/>
          <w:sz w:val="31"/>
          <w:szCs w:val="31"/>
        </w:rPr>
        <w:t>用、推进矿业</w:t>
      </w:r>
      <w:r>
        <w:rPr>
          <w:rFonts w:ascii="仿宋" w:hAnsi="仿宋" w:eastAsia="仿宋" w:cs="仿宋"/>
          <w:spacing w:val="9"/>
          <w:sz w:val="31"/>
          <w:szCs w:val="31"/>
        </w:rPr>
        <w:t>转型升级等方面做了大量工作，为社会经济发</w:t>
      </w:r>
      <w:r>
        <w:rPr>
          <w:rFonts w:ascii="仿宋" w:hAnsi="仿宋" w:eastAsia="仿宋" w:cs="仿宋"/>
          <w:spacing w:val="8"/>
          <w:sz w:val="31"/>
          <w:szCs w:val="31"/>
        </w:rPr>
        <w:t>展起到了积极</w:t>
      </w:r>
      <w:r>
        <w:rPr>
          <w:rFonts w:ascii="仿宋" w:hAnsi="仿宋" w:eastAsia="仿宋" w:cs="仿宋"/>
          <w:spacing w:val="1"/>
          <w:sz w:val="31"/>
          <w:szCs w:val="31"/>
        </w:rPr>
        <w:t>作用。</w:t>
      </w:r>
    </w:p>
    <w:p w14:paraId="1599639A">
      <w:pPr>
        <w:spacing w:line="226" w:lineRule="exact"/>
      </w:pPr>
    </w:p>
    <w:tbl>
      <w:tblPr>
        <w:tblStyle w:val="5"/>
        <w:tblW w:w="84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1"/>
        <w:gridCol w:w="2508"/>
        <w:gridCol w:w="1367"/>
        <w:gridCol w:w="719"/>
        <w:gridCol w:w="1276"/>
        <w:gridCol w:w="1576"/>
      </w:tblGrid>
      <w:tr w14:paraId="6B435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407" w:type="dxa"/>
            <w:gridSpan w:val="6"/>
            <w:shd w:val="clear" w:color="auto" w:fill="BCE1C0"/>
            <w:vAlign w:val="top"/>
          </w:tcPr>
          <w:p w14:paraId="6EEB6D00">
            <w:pPr>
              <w:spacing w:before="65" w:line="223" w:lineRule="auto"/>
              <w:ind w:left="1151"/>
              <w:rPr>
                <w:rFonts w:ascii="黑体" w:hAnsi="黑体" w:eastAsia="黑体" w:cs="黑体"/>
                <w:sz w:val="28"/>
                <w:szCs w:val="28"/>
              </w:rPr>
            </w:pPr>
            <w:r>
              <w:rPr>
                <w:rFonts w:ascii="黑体" w:hAnsi="黑体" w:eastAsia="黑体" w:cs="黑体"/>
                <w:spacing w:val="2"/>
                <w:sz w:val="28"/>
                <w:szCs w:val="28"/>
              </w:rPr>
              <w:t>专栏2</w:t>
            </w:r>
            <w:r>
              <w:rPr>
                <w:rFonts w:ascii="黑体" w:hAnsi="黑体" w:eastAsia="黑体" w:cs="黑体"/>
                <w:spacing w:val="-60"/>
                <w:sz w:val="28"/>
                <w:szCs w:val="28"/>
              </w:rPr>
              <w:t xml:space="preserve"> </w:t>
            </w:r>
            <w:r>
              <w:rPr>
                <w:rFonts w:ascii="黑体" w:hAnsi="黑体" w:eastAsia="黑体" w:cs="黑体"/>
                <w:spacing w:val="2"/>
                <w:sz w:val="28"/>
                <w:szCs w:val="28"/>
              </w:rPr>
              <w:t>“十三五”矿产资源勘查主要指标完成情况</w:t>
            </w:r>
          </w:p>
        </w:tc>
      </w:tr>
      <w:tr w14:paraId="738AA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469" w:type="dxa"/>
            <w:gridSpan w:val="2"/>
            <w:vMerge w:val="restart"/>
            <w:tcBorders>
              <w:bottom w:val="nil"/>
            </w:tcBorders>
            <w:vAlign w:val="top"/>
          </w:tcPr>
          <w:p w14:paraId="4A9E5800">
            <w:pPr>
              <w:spacing w:line="328" w:lineRule="auto"/>
              <w:rPr>
                <w:rFonts w:ascii="Arial"/>
                <w:sz w:val="21"/>
              </w:rPr>
            </w:pPr>
          </w:p>
          <w:p w14:paraId="7E01AC5B">
            <w:pPr>
              <w:spacing w:before="62" w:line="230" w:lineRule="auto"/>
              <w:ind w:left="1352"/>
              <w:rPr>
                <w:rFonts w:ascii="黑体" w:hAnsi="黑体" w:eastAsia="黑体" w:cs="黑体"/>
                <w:sz w:val="19"/>
                <w:szCs w:val="19"/>
              </w:rPr>
            </w:pPr>
            <w:r>
              <w:rPr>
                <w:rFonts w:ascii="黑体" w:hAnsi="黑体" w:eastAsia="黑体" w:cs="黑体"/>
                <w:spacing w:val="1"/>
                <w:sz w:val="19"/>
                <w:szCs w:val="19"/>
              </w:rPr>
              <w:t>指</w:t>
            </w:r>
            <w:r>
              <w:rPr>
                <w:rFonts w:ascii="黑体" w:hAnsi="黑体" w:eastAsia="黑体" w:cs="黑体"/>
                <w:spacing w:val="6"/>
                <w:sz w:val="19"/>
                <w:szCs w:val="19"/>
              </w:rPr>
              <w:t xml:space="preserve">    </w:t>
            </w:r>
            <w:r>
              <w:rPr>
                <w:rFonts w:ascii="黑体" w:hAnsi="黑体" w:eastAsia="黑体" w:cs="黑体"/>
                <w:spacing w:val="1"/>
                <w:sz w:val="19"/>
                <w:szCs w:val="19"/>
              </w:rPr>
              <w:t>标</w:t>
            </w:r>
          </w:p>
        </w:tc>
        <w:tc>
          <w:tcPr>
            <w:tcW w:w="2086" w:type="dxa"/>
            <w:gridSpan w:val="2"/>
            <w:vAlign w:val="top"/>
          </w:tcPr>
          <w:p w14:paraId="05E37D1D">
            <w:pPr>
              <w:spacing w:before="147" w:line="230" w:lineRule="auto"/>
              <w:ind w:left="455"/>
              <w:rPr>
                <w:rFonts w:ascii="黑体" w:hAnsi="黑体" w:eastAsia="黑体" w:cs="黑体"/>
                <w:sz w:val="19"/>
                <w:szCs w:val="19"/>
              </w:rPr>
            </w:pPr>
            <w:r>
              <w:rPr>
                <w:rFonts w:ascii="黑体" w:hAnsi="黑体" w:eastAsia="黑体" w:cs="黑体"/>
                <w:spacing w:val="8"/>
                <w:sz w:val="19"/>
                <w:szCs w:val="19"/>
              </w:rPr>
              <w:t>规划指标目标</w:t>
            </w:r>
          </w:p>
        </w:tc>
        <w:tc>
          <w:tcPr>
            <w:tcW w:w="2852" w:type="dxa"/>
            <w:gridSpan w:val="2"/>
            <w:vAlign w:val="top"/>
          </w:tcPr>
          <w:p w14:paraId="20813FD8">
            <w:pPr>
              <w:spacing w:before="147" w:line="228" w:lineRule="auto"/>
              <w:ind w:left="836"/>
              <w:rPr>
                <w:rFonts w:ascii="黑体" w:hAnsi="黑体" w:eastAsia="黑体" w:cs="黑体"/>
                <w:sz w:val="19"/>
                <w:szCs w:val="19"/>
              </w:rPr>
            </w:pPr>
            <w:r>
              <w:rPr>
                <w:rFonts w:ascii="黑体" w:hAnsi="黑体" w:eastAsia="黑体" w:cs="黑体"/>
                <w:spacing w:val="8"/>
                <w:sz w:val="19"/>
                <w:szCs w:val="19"/>
              </w:rPr>
              <w:t>指标完成情况</w:t>
            </w:r>
          </w:p>
        </w:tc>
      </w:tr>
      <w:tr w14:paraId="4D479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469" w:type="dxa"/>
            <w:gridSpan w:val="2"/>
            <w:vMerge w:val="continue"/>
            <w:tcBorders>
              <w:top w:val="nil"/>
            </w:tcBorders>
            <w:vAlign w:val="top"/>
          </w:tcPr>
          <w:p w14:paraId="3F14C02C">
            <w:pPr>
              <w:rPr>
                <w:rFonts w:ascii="Arial"/>
                <w:sz w:val="21"/>
              </w:rPr>
            </w:pPr>
          </w:p>
        </w:tc>
        <w:tc>
          <w:tcPr>
            <w:tcW w:w="1367" w:type="dxa"/>
            <w:vAlign w:val="top"/>
          </w:tcPr>
          <w:p w14:paraId="3413DCAE">
            <w:pPr>
              <w:spacing w:before="153" w:line="230" w:lineRule="auto"/>
              <w:ind w:left="119"/>
              <w:rPr>
                <w:rFonts w:ascii="黑体" w:hAnsi="黑体" w:eastAsia="黑体" w:cs="黑体"/>
                <w:sz w:val="19"/>
                <w:szCs w:val="19"/>
              </w:rPr>
            </w:pPr>
            <w:r>
              <w:rPr>
                <w:rFonts w:ascii="黑体" w:hAnsi="黑体" w:eastAsia="黑体" w:cs="黑体"/>
                <w:spacing w:val="3"/>
                <w:sz w:val="19"/>
                <w:szCs w:val="19"/>
              </w:rPr>
              <w:t>2016-2020</w:t>
            </w:r>
            <w:r>
              <w:rPr>
                <w:rFonts w:ascii="黑体" w:hAnsi="黑体" w:eastAsia="黑体" w:cs="黑体"/>
                <w:spacing w:val="-29"/>
                <w:sz w:val="19"/>
                <w:szCs w:val="19"/>
              </w:rPr>
              <w:t xml:space="preserve"> </w:t>
            </w:r>
            <w:r>
              <w:rPr>
                <w:rFonts w:ascii="黑体" w:hAnsi="黑体" w:eastAsia="黑体" w:cs="黑体"/>
                <w:spacing w:val="3"/>
                <w:sz w:val="19"/>
                <w:szCs w:val="19"/>
              </w:rPr>
              <w:t>年</w:t>
            </w:r>
          </w:p>
        </w:tc>
        <w:tc>
          <w:tcPr>
            <w:tcW w:w="719" w:type="dxa"/>
            <w:vAlign w:val="top"/>
          </w:tcPr>
          <w:p w14:paraId="0A5309E2">
            <w:pPr>
              <w:spacing w:before="154" w:line="229" w:lineRule="auto"/>
              <w:ind w:left="174"/>
              <w:rPr>
                <w:rFonts w:ascii="黑体" w:hAnsi="黑体" w:eastAsia="黑体" w:cs="黑体"/>
                <w:sz w:val="19"/>
                <w:szCs w:val="19"/>
              </w:rPr>
            </w:pPr>
            <w:r>
              <w:rPr>
                <w:rFonts w:ascii="黑体" w:hAnsi="黑体" w:eastAsia="黑体" w:cs="黑体"/>
                <w:spacing w:val="5"/>
                <w:sz w:val="19"/>
                <w:szCs w:val="19"/>
              </w:rPr>
              <w:t>属性</w:t>
            </w:r>
          </w:p>
        </w:tc>
        <w:tc>
          <w:tcPr>
            <w:tcW w:w="1276" w:type="dxa"/>
            <w:vAlign w:val="top"/>
          </w:tcPr>
          <w:p w14:paraId="49D14D67">
            <w:pPr>
              <w:spacing w:before="154" w:line="227" w:lineRule="auto"/>
              <w:ind w:left="115"/>
              <w:rPr>
                <w:rFonts w:ascii="黑体" w:hAnsi="黑体" w:eastAsia="黑体" w:cs="黑体"/>
                <w:sz w:val="19"/>
                <w:szCs w:val="19"/>
              </w:rPr>
            </w:pPr>
            <w:r>
              <w:rPr>
                <w:rFonts w:ascii="黑体" w:hAnsi="黑体" w:eastAsia="黑体" w:cs="黑体"/>
                <w:spacing w:val="3"/>
                <w:sz w:val="19"/>
                <w:szCs w:val="19"/>
              </w:rPr>
              <w:t>截至</w:t>
            </w:r>
            <w:r>
              <w:rPr>
                <w:rFonts w:ascii="黑体" w:hAnsi="黑体" w:eastAsia="黑体" w:cs="黑体"/>
                <w:spacing w:val="-51"/>
                <w:sz w:val="19"/>
                <w:szCs w:val="19"/>
              </w:rPr>
              <w:t xml:space="preserve"> </w:t>
            </w:r>
            <w:r>
              <w:rPr>
                <w:rFonts w:ascii="黑体" w:hAnsi="黑体" w:eastAsia="黑体" w:cs="黑体"/>
                <w:spacing w:val="3"/>
                <w:sz w:val="19"/>
                <w:szCs w:val="19"/>
              </w:rPr>
              <w:t>2020</w:t>
            </w:r>
            <w:r>
              <w:rPr>
                <w:rFonts w:ascii="黑体" w:hAnsi="黑体" w:eastAsia="黑体" w:cs="黑体"/>
                <w:spacing w:val="-51"/>
                <w:sz w:val="19"/>
                <w:szCs w:val="19"/>
              </w:rPr>
              <w:t xml:space="preserve"> </w:t>
            </w:r>
            <w:r>
              <w:rPr>
                <w:rFonts w:ascii="黑体" w:hAnsi="黑体" w:eastAsia="黑体" w:cs="黑体"/>
                <w:spacing w:val="3"/>
                <w:sz w:val="19"/>
                <w:szCs w:val="19"/>
              </w:rPr>
              <w:t>年</w:t>
            </w:r>
          </w:p>
        </w:tc>
        <w:tc>
          <w:tcPr>
            <w:tcW w:w="1576" w:type="dxa"/>
            <w:vAlign w:val="top"/>
          </w:tcPr>
          <w:p w14:paraId="2630F451">
            <w:pPr>
              <w:spacing w:before="148" w:line="228" w:lineRule="auto"/>
              <w:ind w:left="396"/>
              <w:rPr>
                <w:rFonts w:ascii="黑体" w:hAnsi="黑体" w:eastAsia="黑体" w:cs="黑体"/>
                <w:sz w:val="19"/>
                <w:szCs w:val="19"/>
              </w:rPr>
            </w:pPr>
            <w:r>
              <w:rPr>
                <w:rFonts w:ascii="黑体" w:hAnsi="黑体" w:eastAsia="黑体" w:cs="黑体"/>
                <w:spacing w:val="7"/>
                <w:sz w:val="19"/>
                <w:szCs w:val="19"/>
              </w:rPr>
              <w:t>完成情况</w:t>
            </w:r>
          </w:p>
        </w:tc>
      </w:tr>
      <w:tr w14:paraId="652E6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3469" w:type="dxa"/>
            <w:gridSpan w:val="2"/>
            <w:vAlign w:val="top"/>
          </w:tcPr>
          <w:p w14:paraId="500EE4B1">
            <w:pPr>
              <w:pStyle w:val="6"/>
              <w:spacing w:before="155" w:line="224" w:lineRule="auto"/>
              <w:ind w:left="257"/>
            </w:pPr>
            <w:r>
              <w:rPr>
                <w:spacing w:val="7"/>
              </w:rPr>
              <w:t>新发现和评价大中型矿产地（</w:t>
            </w:r>
            <w:r>
              <w:rPr>
                <w:spacing w:val="-44"/>
              </w:rPr>
              <w:t xml:space="preserve"> </w:t>
            </w:r>
            <w:r>
              <w:rPr>
                <w:spacing w:val="7"/>
              </w:rPr>
              <w:t>处）</w:t>
            </w:r>
          </w:p>
        </w:tc>
        <w:tc>
          <w:tcPr>
            <w:tcW w:w="1367" w:type="dxa"/>
            <w:vAlign w:val="top"/>
          </w:tcPr>
          <w:p w14:paraId="3870EC43">
            <w:pPr>
              <w:pStyle w:val="6"/>
              <w:spacing w:before="155" w:line="251" w:lineRule="exact"/>
              <w:ind w:left="655"/>
            </w:pPr>
            <w:r>
              <w:rPr>
                <w:position w:val="1"/>
              </w:rPr>
              <w:t>4</w:t>
            </w:r>
          </w:p>
        </w:tc>
        <w:tc>
          <w:tcPr>
            <w:tcW w:w="719" w:type="dxa"/>
            <w:vMerge w:val="restart"/>
            <w:tcBorders>
              <w:bottom w:val="nil"/>
            </w:tcBorders>
            <w:vAlign w:val="top"/>
          </w:tcPr>
          <w:p w14:paraId="19EC50E4">
            <w:pPr>
              <w:spacing w:line="252" w:lineRule="auto"/>
              <w:rPr>
                <w:rFonts w:ascii="Arial"/>
                <w:sz w:val="21"/>
              </w:rPr>
            </w:pPr>
          </w:p>
          <w:p w14:paraId="55013E21">
            <w:pPr>
              <w:spacing w:line="252" w:lineRule="auto"/>
              <w:rPr>
                <w:rFonts w:ascii="Arial"/>
                <w:sz w:val="21"/>
              </w:rPr>
            </w:pPr>
          </w:p>
          <w:p w14:paraId="6F1E3021">
            <w:pPr>
              <w:spacing w:line="252" w:lineRule="auto"/>
              <w:rPr>
                <w:rFonts w:ascii="Arial"/>
                <w:sz w:val="21"/>
              </w:rPr>
            </w:pPr>
          </w:p>
          <w:p w14:paraId="426F8597">
            <w:pPr>
              <w:pStyle w:val="6"/>
              <w:spacing w:before="62" w:line="256" w:lineRule="auto"/>
              <w:ind w:left="278" w:right="149" w:hanging="97"/>
            </w:pPr>
            <w:r>
              <w:rPr>
                <w:spacing w:val="1"/>
              </w:rPr>
              <w:t>预期</w:t>
            </w:r>
            <w:r>
              <w:t>性</w:t>
            </w:r>
          </w:p>
        </w:tc>
        <w:tc>
          <w:tcPr>
            <w:tcW w:w="1276" w:type="dxa"/>
            <w:vAlign w:val="top"/>
          </w:tcPr>
          <w:p w14:paraId="6D38439F">
            <w:pPr>
              <w:pStyle w:val="6"/>
              <w:spacing w:before="150" w:line="251" w:lineRule="exact"/>
              <w:ind w:left="609"/>
            </w:pPr>
            <w:r>
              <w:rPr>
                <w:position w:val="1"/>
              </w:rPr>
              <w:t>2</w:t>
            </w:r>
          </w:p>
        </w:tc>
        <w:tc>
          <w:tcPr>
            <w:tcW w:w="1576" w:type="dxa"/>
            <w:vAlign w:val="top"/>
          </w:tcPr>
          <w:p w14:paraId="1F5EB2AC">
            <w:pPr>
              <w:pStyle w:val="6"/>
              <w:spacing w:before="151" w:line="242" w:lineRule="auto"/>
              <w:ind w:left="655"/>
            </w:pPr>
            <w:r>
              <w:rPr>
                <w:spacing w:val="-1"/>
              </w:rPr>
              <w:t>50%</w:t>
            </w:r>
          </w:p>
        </w:tc>
      </w:tr>
      <w:tr w14:paraId="1207F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61" w:type="dxa"/>
            <w:vMerge w:val="restart"/>
            <w:tcBorders>
              <w:bottom w:val="nil"/>
            </w:tcBorders>
            <w:vAlign w:val="top"/>
          </w:tcPr>
          <w:p w14:paraId="307B019E">
            <w:pPr>
              <w:spacing w:line="256" w:lineRule="auto"/>
              <w:rPr>
                <w:rFonts w:ascii="Arial"/>
                <w:sz w:val="21"/>
              </w:rPr>
            </w:pPr>
          </w:p>
          <w:p w14:paraId="21515F31">
            <w:pPr>
              <w:pStyle w:val="6"/>
              <w:spacing w:before="61" w:line="225" w:lineRule="auto"/>
              <w:ind w:left="210"/>
            </w:pPr>
            <w:r>
              <w:rPr>
                <w:spacing w:val="2"/>
              </w:rPr>
              <w:t>重要矿</w:t>
            </w:r>
          </w:p>
          <w:p w14:paraId="2EDB241A">
            <w:pPr>
              <w:pStyle w:val="6"/>
              <w:spacing w:before="27" w:line="225" w:lineRule="auto"/>
              <w:ind w:left="201"/>
            </w:pPr>
            <w:r>
              <w:rPr>
                <w:spacing w:val="5"/>
              </w:rPr>
              <w:t>产资源</w:t>
            </w:r>
          </w:p>
          <w:p w14:paraId="01FF2371">
            <w:pPr>
              <w:pStyle w:val="6"/>
              <w:spacing w:before="31" w:line="224" w:lineRule="auto"/>
              <w:ind w:left="204"/>
            </w:pPr>
            <w:r>
              <w:rPr>
                <w:spacing w:val="4"/>
              </w:rPr>
              <w:t>新增储</w:t>
            </w:r>
          </w:p>
          <w:p w14:paraId="18CB8A15">
            <w:pPr>
              <w:pStyle w:val="6"/>
              <w:spacing w:before="29" w:line="228" w:lineRule="auto"/>
              <w:ind w:left="403"/>
            </w:pPr>
            <w:r>
              <w:t>量</w:t>
            </w:r>
          </w:p>
        </w:tc>
        <w:tc>
          <w:tcPr>
            <w:tcW w:w="2508" w:type="dxa"/>
            <w:vAlign w:val="top"/>
          </w:tcPr>
          <w:p w14:paraId="1F74C614">
            <w:pPr>
              <w:pStyle w:val="6"/>
              <w:spacing w:before="50" w:line="224" w:lineRule="auto"/>
              <w:ind w:left="115"/>
            </w:pPr>
            <w:r>
              <w:rPr>
                <w:spacing w:val="7"/>
              </w:rPr>
              <w:t>金矿（金属量</w:t>
            </w:r>
            <w:r>
              <w:rPr>
                <w:spacing w:val="32"/>
              </w:rPr>
              <w:t xml:space="preserve"> </w:t>
            </w:r>
            <w:r>
              <w:rPr>
                <w:spacing w:val="7"/>
              </w:rPr>
              <w:t>吨）</w:t>
            </w:r>
          </w:p>
        </w:tc>
        <w:tc>
          <w:tcPr>
            <w:tcW w:w="1367" w:type="dxa"/>
            <w:vAlign w:val="top"/>
          </w:tcPr>
          <w:p w14:paraId="6B429A52">
            <w:pPr>
              <w:pStyle w:val="6"/>
              <w:spacing w:before="50" w:line="242" w:lineRule="auto"/>
              <w:ind w:left="507"/>
            </w:pPr>
            <w:r>
              <w:t>2200</w:t>
            </w:r>
          </w:p>
        </w:tc>
        <w:tc>
          <w:tcPr>
            <w:tcW w:w="719" w:type="dxa"/>
            <w:vMerge w:val="continue"/>
            <w:tcBorders>
              <w:top w:val="nil"/>
              <w:bottom w:val="nil"/>
            </w:tcBorders>
            <w:vAlign w:val="top"/>
          </w:tcPr>
          <w:p w14:paraId="750B382F">
            <w:pPr>
              <w:rPr>
                <w:rFonts w:ascii="Arial"/>
                <w:sz w:val="21"/>
              </w:rPr>
            </w:pPr>
          </w:p>
        </w:tc>
        <w:tc>
          <w:tcPr>
            <w:tcW w:w="1276" w:type="dxa"/>
            <w:vAlign w:val="top"/>
          </w:tcPr>
          <w:p w14:paraId="12BB2ACE">
            <w:pPr>
              <w:pStyle w:val="6"/>
              <w:spacing w:before="141" w:line="130" w:lineRule="exact"/>
              <w:ind w:left="600"/>
            </w:pPr>
            <w:r>
              <w:rPr>
                <w:position w:val="-3"/>
              </w:rPr>
              <w:t>-</w:t>
            </w:r>
          </w:p>
        </w:tc>
        <w:tc>
          <w:tcPr>
            <w:tcW w:w="1576" w:type="dxa"/>
            <w:vAlign w:val="top"/>
          </w:tcPr>
          <w:p w14:paraId="37DCF8BE">
            <w:pPr>
              <w:pStyle w:val="6"/>
              <w:spacing w:before="155" w:line="131" w:lineRule="exact"/>
              <w:ind w:left="745"/>
            </w:pPr>
            <w:r>
              <w:rPr>
                <w:position w:val="-3"/>
              </w:rPr>
              <w:t>-</w:t>
            </w:r>
          </w:p>
        </w:tc>
      </w:tr>
      <w:tr w14:paraId="1C309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61" w:type="dxa"/>
            <w:vMerge w:val="continue"/>
            <w:tcBorders>
              <w:top w:val="nil"/>
              <w:bottom w:val="nil"/>
            </w:tcBorders>
            <w:vAlign w:val="top"/>
          </w:tcPr>
          <w:p w14:paraId="61516621">
            <w:pPr>
              <w:rPr>
                <w:rFonts w:ascii="Arial"/>
                <w:sz w:val="21"/>
              </w:rPr>
            </w:pPr>
          </w:p>
        </w:tc>
        <w:tc>
          <w:tcPr>
            <w:tcW w:w="2508" w:type="dxa"/>
            <w:vAlign w:val="top"/>
          </w:tcPr>
          <w:p w14:paraId="471038DB">
            <w:pPr>
              <w:pStyle w:val="6"/>
              <w:spacing w:before="51" w:line="225" w:lineRule="auto"/>
              <w:ind w:left="116"/>
            </w:pPr>
            <w:r>
              <w:rPr>
                <w:spacing w:val="5"/>
              </w:rPr>
              <w:t>铁矿（矿石</w:t>
            </w:r>
            <w:r>
              <w:rPr>
                <w:spacing w:val="24"/>
              </w:rPr>
              <w:t xml:space="preserve"> </w:t>
            </w:r>
            <w:r>
              <w:rPr>
                <w:spacing w:val="5"/>
              </w:rPr>
              <w:t>万吨）</w:t>
            </w:r>
          </w:p>
        </w:tc>
        <w:tc>
          <w:tcPr>
            <w:tcW w:w="1367" w:type="dxa"/>
            <w:vAlign w:val="top"/>
          </w:tcPr>
          <w:p w14:paraId="5C424C1A">
            <w:pPr>
              <w:pStyle w:val="6"/>
              <w:spacing w:before="51" w:line="242" w:lineRule="auto"/>
              <w:ind w:left="507"/>
            </w:pPr>
            <w:r>
              <w:t>2400</w:t>
            </w:r>
          </w:p>
        </w:tc>
        <w:tc>
          <w:tcPr>
            <w:tcW w:w="719" w:type="dxa"/>
            <w:vMerge w:val="continue"/>
            <w:tcBorders>
              <w:top w:val="nil"/>
              <w:bottom w:val="nil"/>
            </w:tcBorders>
            <w:vAlign w:val="top"/>
          </w:tcPr>
          <w:p w14:paraId="3E1E24A7">
            <w:pPr>
              <w:rPr>
                <w:rFonts w:ascii="Arial"/>
                <w:sz w:val="21"/>
              </w:rPr>
            </w:pPr>
          </w:p>
        </w:tc>
        <w:tc>
          <w:tcPr>
            <w:tcW w:w="1276" w:type="dxa"/>
            <w:vAlign w:val="top"/>
          </w:tcPr>
          <w:p w14:paraId="15CE26FB">
            <w:pPr>
              <w:pStyle w:val="6"/>
              <w:spacing w:before="141" w:line="131" w:lineRule="exact"/>
              <w:ind w:left="600"/>
            </w:pPr>
            <w:r>
              <w:rPr>
                <w:position w:val="-3"/>
              </w:rPr>
              <w:t>-</w:t>
            </w:r>
          </w:p>
        </w:tc>
        <w:tc>
          <w:tcPr>
            <w:tcW w:w="1576" w:type="dxa"/>
            <w:vAlign w:val="top"/>
          </w:tcPr>
          <w:p w14:paraId="6A0AAEBE">
            <w:pPr>
              <w:pStyle w:val="6"/>
              <w:spacing w:before="156" w:line="130" w:lineRule="exact"/>
              <w:ind w:left="745"/>
            </w:pPr>
            <w:r>
              <w:rPr>
                <w:position w:val="-3"/>
              </w:rPr>
              <w:t>-</w:t>
            </w:r>
          </w:p>
        </w:tc>
      </w:tr>
      <w:tr w14:paraId="44CBB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61" w:type="dxa"/>
            <w:vMerge w:val="continue"/>
            <w:tcBorders>
              <w:top w:val="nil"/>
              <w:bottom w:val="nil"/>
            </w:tcBorders>
            <w:vAlign w:val="top"/>
          </w:tcPr>
          <w:p w14:paraId="7AC59E5E">
            <w:pPr>
              <w:rPr>
                <w:rFonts w:ascii="Arial"/>
                <w:sz w:val="21"/>
              </w:rPr>
            </w:pPr>
          </w:p>
        </w:tc>
        <w:tc>
          <w:tcPr>
            <w:tcW w:w="2508" w:type="dxa"/>
            <w:vAlign w:val="top"/>
          </w:tcPr>
          <w:p w14:paraId="7D0E76FB">
            <w:pPr>
              <w:pStyle w:val="6"/>
              <w:spacing w:before="46" w:line="225" w:lineRule="auto"/>
              <w:ind w:left="111"/>
            </w:pPr>
            <w:r>
              <w:rPr>
                <w:spacing w:val="5"/>
              </w:rPr>
              <w:t>锰矿（矿石</w:t>
            </w:r>
            <w:r>
              <w:rPr>
                <w:spacing w:val="30"/>
              </w:rPr>
              <w:t xml:space="preserve"> </w:t>
            </w:r>
            <w:r>
              <w:rPr>
                <w:spacing w:val="5"/>
              </w:rPr>
              <w:t>万吨）</w:t>
            </w:r>
          </w:p>
        </w:tc>
        <w:tc>
          <w:tcPr>
            <w:tcW w:w="1367" w:type="dxa"/>
            <w:vAlign w:val="top"/>
          </w:tcPr>
          <w:p w14:paraId="3B97AEA4">
            <w:pPr>
              <w:pStyle w:val="6"/>
              <w:spacing w:before="46" w:line="242" w:lineRule="auto"/>
              <w:ind w:left="605"/>
            </w:pPr>
            <w:r>
              <w:rPr>
                <w:spacing w:val="-5"/>
              </w:rPr>
              <w:t>50</w:t>
            </w:r>
          </w:p>
        </w:tc>
        <w:tc>
          <w:tcPr>
            <w:tcW w:w="719" w:type="dxa"/>
            <w:vMerge w:val="continue"/>
            <w:tcBorders>
              <w:top w:val="nil"/>
              <w:bottom w:val="nil"/>
            </w:tcBorders>
            <w:vAlign w:val="top"/>
          </w:tcPr>
          <w:p w14:paraId="76D3FBFD">
            <w:pPr>
              <w:rPr>
                <w:rFonts w:ascii="Arial"/>
                <w:sz w:val="21"/>
              </w:rPr>
            </w:pPr>
          </w:p>
        </w:tc>
        <w:tc>
          <w:tcPr>
            <w:tcW w:w="1276" w:type="dxa"/>
            <w:vAlign w:val="top"/>
          </w:tcPr>
          <w:p w14:paraId="6B5B27A1">
            <w:pPr>
              <w:pStyle w:val="6"/>
              <w:spacing w:before="137" w:line="130" w:lineRule="exact"/>
              <w:ind w:left="600"/>
            </w:pPr>
            <w:r>
              <w:rPr>
                <w:position w:val="-3"/>
              </w:rPr>
              <w:t>-</w:t>
            </w:r>
          </w:p>
        </w:tc>
        <w:tc>
          <w:tcPr>
            <w:tcW w:w="1576" w:type="dxa"/>
            <w:vAlign w:val="top"/>
          </w:tcPr>
          <w:p w14:paraId="23204FD1">
            <w:pPr>
              <w:pStyle w:val="6"/>
              <w:spacing w:before="151" w:line="131" w:lineRule="exact"/>
              <w:ind w:left="745"/>
            </w:pPr>
            <w:r>
              <w:rPr>
                <w:position w:val="-3"/>
              </w:rPr>
              <w:t>-</w:t>
            </w:r>
          </w:p>
        </w:tc>
      </w:tr>
      <w:tr w14:paraId="62906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961" w:type="dxa"/>
            <w:vMerge w:val="continue"/>
            <w:tcBorders>
              <w:top w:val="nil"/>
              <w:bottom w:val="nil"/>
            </w:tcBorders>
            <w:vAlign w:val="top"/>
          </w:tcPr>
          <w:p w14:paraId="6FFB3944">
            <w:pPr>
              <w:rPr>
                <w:rFonts w:ascii="Arial"/>
                <w:sz w:val="21"/>
              </w:rPr>
            </w:pPr>
          </w:p>
        </w:tc>
        <w:tc>
          <w:tcPr>
            <w:tcW w:w="2508" w:type="dxa"/>
            <w:vAlign w:val="top"/>
          </w:tcPr>
          <w:p w14:paraId="283357A6">
            <w:pPr>
              <w:pStyle w:val="6"/>
              <w:spacing w:before="47" w:line="222" w:lineRule="auto"/>
              <w:ind w:left="118"/>
            </w:pPr>
            <w:r>
              <w:rPr>
                <w:spacing w:val="6"/>
              </w:rPr>
              <w:t>锂辉石矿（矿石</w:t>
            </w:r>
            <w:r>
              <w:rPr>
                <w:spacing w:val="25"/>
              </w:rPr>
              <w:t xml:space="preserve"> </w:t>
            </w:r>
            <w:r>
              <w:rPr>
                <w:spacing w:val="6"/>
              </w:rPr>
              <w:t>万吨）</w:t>
            </w:r>
          </w:p>
        </w:tc>
        <w:tc>
          <w:tcPr>
            <w:tcW w:w="1367" w:type="dxa"/>
            <w:vAlign w:val="top"/>
          </w:tcPr>
          <w:p w14:paraId="1C726817">
            <w:pPr>
              <w:pStyle w:val="6"/>
              <w:spacing w:before="47" w:line="242" w:lineRule="auto"/>
              <w:ind w:left="611"/>
            </w:pPr>
            <w:r>
              <w:rPr>
                <w:spacing w:val="-7"/>
              </w:rPr>
              <w:t>36</w:t>
            </w:r>
          </w:p>
        </w:tc>
        <w:tc>
          <w:tcPr>
            <w:tcW w:w="719" w:type="dxa"/>
            <w:vMerge w:val="continue"/>
            <w:tcBorders>
              <w:top w:val="nil"/>
              <w:bottom w:val="nil"/>
            </w:tcBorders>
            <w:vAlign w:val="top"/>
          </w:tcPr>
          <w:p w14:paraId="55DEB8C4">
            <w:pPr>
              <w:rPr>
                <w:rFonts w:ascii="Arial"/>
                <w:sz w:val="21"/>
              </w:rPr>
            </w:pPr>
          </w:p>
        </w:tc>
        <w:tc>
          <w:tcPr>
            <w:tcW w:w="1276" w:type="dxa"/>
            <w:vAlign w:val="top"/>
          </w:tcPr>
          <w:p w14:paraId="18F04D8B">
            <w:pPr>
              <w:pStyle w:val="6"/>
              <w:spacing w:before="137" w:line="131" w:lineRule="exact"/>
              <w:ind w:left="600"/>
            </w:pPr>
            <w:r>
              <w:rPr>
                <w:position w:val="-3"/>
              </w:rPr>
              <w:t>-</w:t>
            </w:r>
          </w:p>
        </w:tc>
        <w:tc>
          <w:tcPr>
            <w:tcW w:w="1576" w:type="dxa"/>
            <w:vAlign w:val="top"/>
          </w:tcPr>
          <w:p w14:paraId="61986E77">
            <w:pPr>
              <w:pStyle w:val="6"/>
              <w:spacing w:before="157" w:line="130" w:lineRule="exact"/>
              <w:ind w:left="745"/>
            </w:pPr>
            <w:r>
              <w:rPr>
                <w:position w:val="-3"/>
              </w:rPr>
              <w:t>-</w:t>
            </w:r>
          </w:p>
        </w:tc>
      </w:tr>
      <w:tr w14:paraId="13015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61" w:type="dxa"/>
            <w:vMerge w:val="continue"/>
            <w:tcBorders>
              <w:top w:val="nil"/>
            </w:tcBorders>
            <w:vAlign w:val="top"/>
          </w:tcPr>
          <w:p w14:paraId="40C2C058">
            <w:pPr>
              <w:rPr>
                <w:rFonts w:ascii="Arial"/>
                <w:sz w:val="21"/>
              </w:rPr>
            </w:pPr>
          </w:p>
        </w:tc>
        <w:tc>
          <w:tcPr>
            <w:tcW w:w="2508" w:type="dxa"/>
            <w:vAlign w:val="top"/>
          </w:tcPr>
          <w:p w14:paraId="7920D593">
            <w:pPr>
              <w:pStyle w:val="6"/>
              <w:spacing w:before="47" w:line="222" w:lineRule="auto"/>
              <w:jc w:val="right"/>
            </w:pPr>
            <w:r>
              <w:rPr>
                <w:spacing w:val="-2"/>
              </w:rPr>
              <w:t>铌矿＋钽矿（氧化物</w:t>
            </w:r>
            <w:r>
              <w:rPr>
                <w:spacing w:val="32"/>
              </w:rPr>
              <w:t xml:space="preserve"> </w:t>
            </w:r>
            <w:r>
              <w:rPr>
                <w:spacing w:val="-2"/>
              </w:rPr>
              <w:t>万吨）</w:t>
            </w:r>
          </w:p>
        </w:tc>
        <w:tc>
          <w:tcPr>
            <w:tcW w:w="1367" w:type="dxa"/>
            <w:vAlign w:val="top"/>
          </w:tcPr>
          <w:p w14:paraId="5F1C348E">
            <w:pPr>
              <w:pStyle w:val="6"/>
              <w:spacing w:before="48" w:line="242" w:lineRule="auto"/>
              <w:ind w:left="507"/>
            </w:pPr>
            <w:r>
              <w:t>2200</w:t>
            </w:r>
          </w:p>
        </w:tc>
        <w:tc>
          <w:tcPr>
            <w:tcW w:w="719" w:type="dxa"/>
            <w:vMerge w:val="continue"/>
            <w:tcBorders>
              <w:top w:val="nil"/>
            </w:tcBorders>
            <w:vAlign w:val="top"/>
          </w:tcPr>
          <w:p w14:paraId="4423376C">
            <w:pPr>
              <w:rPr>
                <w:rFonts w:ascii="Arial"/>
                <w:sz w:val="21"/>
              </w:rPr>
            </w:pPr>
          </w:p>
        </w:tc>
        <w:tc>
          <w:tcPr>
            <w:tcW w:w="1276" w:type="dxa"/>
            <w:vAlign w:val="top"/>
          </w:tcPr>
          <w:p w14:paraId="428F1A09">
            <w:pPr>
              <w:pStyle w:val="6"/>
              <w:spacing w:before="138" w:line="130" w:lineRule="exact"/>
              <w:ind w:left="600"/>
            </w:pPr>
            <w:r>
              <w:rPr>
                <w:position w:val="-3"/>
              </w:rPr>
              <w:t>-</w:t>
            </w:r>
          </w:p>
        </w:tc>
        <w:tc>
          <w:tcPr>
            <w:tcW w:w="1576" w:type="dxa"/>
            <w:vAlign w:val="top"/>
          </w:tcPr>
          <w:p w14:paraId="6977567D">
            <w:pPr>
              <w:pStyle w:val="6"/>
              <w:spacing w:before="157" w:line="130" w:lineRule="exact"/>
              <w:ind w:left="745"/>
            </w:pPr>
            <w:r>
              <w:rPr>
                <w:position w:val="-3"/>
              </w:rPr>
              <w:t>-</w:t>
            </w:r>
          </w:p>
        </w:tc>
      </w:tr>
    </w:tbl>
    <w:p w14:paraId="6CB79D64">
      <w:pPr>
        <w:pStyle w:val="2"/>
        <w:spacing w:line="335" w:lineRule="auto"/>
      </w:pPr>
    </w:p>
    <w:p w14:paraId="66F8EB23">
      <w:pPr>
        <w:pStyle w:val="2"/>
        <w:spacing w:before="137" w:line="343" w:lineRule="auto"/>
        <w:ind w:left="72" w:right="50" w:firstLine="564"/>
        <w:jc w:val="both"/>
        <w:rPr>
          <w:rFonts w:ascii="仿宋" w:hAnsi="仿宋" w:eastAsia="仿宋" w:cs="仿宋"/>
          <w:sz w:val="31"/>
          <w:szCs w:val="31"/>
        </w:rPr>
      </w:pPr>
      <w:r>
        <w:rPr>
          <w:rFonts w:ascii="微软雅黑" w:hAnsi="微软雅黑" w:eastAsia="微软雅黑" w:cs="微软雅黑"/>
          <w:sz w:val="32"/>
          <w:szCs w:val="32"/>
        </w:rPr>
        <w:t>矿产资源开发布局渐趋合理</w:t>
      </w:r>
      <w:r>
        <w:rPr>
          <w:rFonts w:ascii="微软雅黑" w:hAnsi="微软雅黑" w:eastAsia="微软雅黑" w:cs="微软雅黑"/>
          <w:spacing w:val="-42"/>
          <w:sz w:val="32"/>
          <w:szCs w:val="32"/>
        </w:rPr>
        <w:t xml:space="preserve"> </w:t>
      </w:r>
      <w:r>
        <w:rPr>
          <w:sz w:val="32"/>
          <w:szCs w:val="32"/>
        </w:rPr>
        <w:t>,</w:t>
      </w:r>
      <w:r>
        <w:rPr>
          <w:spacing w:val="28"/>
          <w:sz w:val="32"/>
          <w:szCs w:val="32"/>
        </w:rPr>
        <w:t xml:space="preserve">  </w:t>
      </w:r>
      <w:r>
        <w:rPr>
          <w:rFonts w:ascii="微软雅黑" w:hAnsi="微软雅黑" w:eastAsia="微软雅黑" w:cs="微软雅黑"/>
          <w:sz w:val="32"/>
          <w:szCs w:val="32"/>
        </w:rPr>
        <w:t>开发秩序持续向</w:t>
      </w:r>
      <w:r>
        <w:rPr>
          <w:rFonts w:ascii="微软雅黑" w:hAnsi="微软雅黑" w:eastAsia="微软雅黑" w:cs="微软雅黑"/>
          <w:spacing w:val="-1"/>
          <w:sz w:val="32"/>
          <w:szCs w:val="32"/>
        </w:rPr>
        <w:t>好</w:t>
      </w:r>
      <w:r>
        <w:rPr>
          <w:spacing w:val="-1"/>
          <w:sz w:val="32"/>
          <w:szCs w:val="32"/>
        </w:rPr>
        <w:t>.</w:t>
      </w:r>
      <w:r>
        <w:rPr>
          <w:spacing w:val="32"/>
          <w:w w:val="101"/>
          <w:sz w:val="32"/>
          <w:szCs w:val="32"/>
        </w:rPr>
        <w:t xml:space="preserve">  </w:t>
      </w:r>
      <w:r>
        <w:rPr>
          <w:rFonts w:ascii="仿宋" w:hAnsi="仿宋" w:eastAsia="仿宋" w:cs="仿宋"/>
          <w:spacing w:val="-1"/>
          <w:sz w:val="31"/>
          <w:szCs w:val="31"/>
        </w:rPr>
        <w:t>上一</w:t>
      </w:r>
      <w:r>
        <w:rPr>
          <w:rFonts w:ascii="仿宋" w:hAnsi="仿宋" w:eastAsia="仿宋" w:cs="仿宋"/>
          <w:spacing w:val="7"/>
          <w:sz w:val="31"/>
          <w:szCs w:val="31"/>
        </w:rPr>
        <w:t>轮《规划》实施期间，阿坝州围绕</w:t>
      </w:r>
      <w:r>
        <w:rPr>
          <w:rFonts w:ascii="仿宋" w:hAnsi="仿宋" w:eastAsia="仿宋" w:cs="仿宋"/>
          <w:spacing w:val="-106"/>
          <w:sz w:val="31"/>
          <w:szCs w:val="31"/>
        </w:rPr>
        <w:t xml:space="preserve"> </w:t>
      </w:r>
      <w:r>
        <w:rPr>
          <w:rFonts w:ascii="仿宋" w:hAnsi="仿宋" w:eastAsia="仿宋" w:cs="仿宋"/>
          <w:spacing w:val="7"/>
          <w:sz w:val="31"/>
          <w:szCs w:val="31"/>
        </w:rPr>
        <w:t>“生态优先，绿色</w:t>
      </w:r>
      <w:r>
        <w:rPr>
          <w:rFonts w:ascii="仿宋" w:hAnsi="仿宋" w:eastAsia="仿宋" w:cs="仿宋"/>
          <w:spacing w:val="6"/>
          <w:sz w:val="31"/>
          <w:szCs w:val="31"/>
        </w:rPr>
        <w:t>高质量</w:t>
      </w:r>
      <w:r>
        <w:rPr>
          <w:rFonts w:ascii="仿宋" w:hAnsi="仿宋" w:eastAsia="仿宋" w:cs="仿宋"/>
          <w:spacing w:val="8"/>
          <w:sz w:val="31"/>
          <w:szCs w:val="31"/>
        </w:rPr>
        <w:t>发展”为核心，</w:t>
      </w:r>
      <w:r>
        <w:rPr>
          <w:rFonts w:ascii="仿宋" w:hAnsi="仿宋" w:eastAsia="仿宋" w:cs="仿宋"/>
          <w:spacing w:val="-52"/>
          <w:sz w:val="31"/>
          <w:szCs w:val="31"/>
        </w:rPr>
        <w:t xml:space="preserve"> </w:t>
      </w:r>
      <w:r>
        <w:rPr>
          <w:rFonts w:ascii="仿宋" w:hAnsi="仿宋" w:eastAsia="仿宋" w:cs="仿宋"/>
          <w:spacing w:val="8"/>
          <w:sz w:val="31"/>
          <w:szCs w:val="31"/>
        </w:rPr>
        <w:t>自然保护地内已有序退出</w:t>
      </w:r>
      <w:r>
        <w:rPr>
          <w:rFonts w:ascii="仿宋" w:hAnsi="仿宋" w:eastAsia="仿宋" w:cs="仿宋"/>
          <w:spacing w:val="-44"/>
          <w:sz w:val="31"/>
          <w:szCs w:val="31"/>
        </w:rPr>
        <w:t xml:space="preserve"> </w:t>
      </w:r>
      <w:r>
        <w:rPr>
          <w:rFonts w:ascii="仿宋" w:hAnsi="仿宋" w:eastAsia="仿宋" w:cs="仿宋"/>
          <w:spacing w:val="8"/>
          <w:sz w:val="31"/>
          <w:szCs w:val="31"/>
        </w:rPr>
        <w:t>26</w:t>
      </w:r>
      <w:r>
        <w:rPr>
          <w:rFonts w:ascii="仿宋" w:hAnsi="仿宋" w:eastAsia="仿宋" w:cs="仿宋"/>
          <w:spacing w:val="-39"/>
          <w:sz w:val="31"/>
          <w:szCs w:val="31"/>
        </w:rPr>
        <w:t xml:space="preserve"> </w:t>
      </w:r>
      <w:r>
        <w:rPr>
          <w:rFonts w:ascii="仿宋" w:hAnsi="仿宋" w:eastAsia="仿宋" w:cs="仿宋"/>
          <w:spacing w:val="8"/>
          <w:sz w:val="31"/>
          <w:szCs w:val="31"/>
        </w:rPr>
        <w:t>宗矿业权，依</w:t>
      </w:r>
      <w:r>
        <w:rPr>
          <w:rFonts w:ascii="仿宋" w:hAnsi="仿宋" w:eastAsia="仿宋" w:cs="仿宋"/>
          <w:spacing w:val="9"/>
          <w:sz w:val="31"/>
          <w:szCs w:val="31"/>
        </w:rPr>
        <w:t>法退出一批浪费资源、不符合产业政策的小矿</w:t>
      </w:r>
      <w:r>
        <w:rPr>
          <w:rFonts w:ascii="仿宋" w:hAnsi="仿宋" w:eastAsia="仿宋" w:cs="仿宋"/>
          <w:spacing w:val="8"/>
          <w:sz w:val="31"/>
          <w:szCs w:val="31"/>
        </w:rPr>
        <w:t>山，大中型矿</w:t>
      </w:r>
    </w:p>
    <w:p w14:paraId="675A7AA1">
      <w:pPr>
        <w:spacing w:line="343" w:lineRule="auto"/>
        <w:rPr>
          <w:rFonts w:ascii="仿宋" w:hAnsi="仿宋" w:eastAsia="仿宋" w:cs="仿宋"/>
          <w:sz w:val="31"/>
          <w:szCs w:val="31"/>
        </w:rPr>
        <w:sectPr>
          <w:footerReference r:id="rId11" w:type="default"/>
          <w:pgSz w:w="11904" w:h="16835"/>
          <w:pgMar w:top="1430" w:right="1751" w:bottom="1289" w:left="1739" w:header="0" w:footer="923" w:gutter="0"/>
          <w:cols w:space="720" w:num="1"/>
        </w:sectPr>
      </w:pPr>
    </w:p>
    <w:p w14:paraId="7D27E3E7">
      <w:pPr>
        <w:spacing w:before="133" w:line="372" w:lineRule="auto"/>
        <w:ind w:left="592" w:right="560" w:firstLine="29"/>
        <w:jc w:val="both"/>
        <w:rPr>
          <w:rFonts w:ascii="仿宋" w:hAnsi="仿宋" w:eastAsia="仿宋" w:cs="仿宋"/>
          <w:sz w:val="31"/>
          <w:szCs w:val="31"/>
        </w:rPr>
      </w:pPr>
      <w:r>
        <w:rPr>
          <w:rFonts w:ascii="仿宋" w:hAnsi="仿宋" w:eastAsia="仿宋" w:cs="仿宋"/>
          <w:spacing w:val="6"/>
          <w:sz w:val="31"/>
          <w:szCs w:val="31"/>
        </w:rPr>
        <w:t>山</w:t>
      </w:r>
      <w:r>
        <w:rPr>
          <w:rFonts w:ascii="仿宋" w:hAnsi="仿宋" w:eastAsia="仿宋" w:cs="仿宋"/>
          <w:spacing w:val="-82"/>
          <w:sz w:val="31"/>
          <w:szCs w:val="31"/>
        </w:rPr>
        <w:t xml:space="preserve"> </w:t>
      </w:r>
      <w:r>
        <w:rPr>
          <w:rFonts w:ascii="仿宋" w:hAnsi="仿宋" w:eastAsia="仿宋" w:cs="仿宋"/>
          <w:spacing w:val="6"/>
          <w:sz w:val="31"/>
          <w:szCs w:val="31"/>
        </w:rPr>
        <w:t>比例由</w:t>
      </w:r>
      <w:r>
        <w:rPr>
          <w:rFonts w:ascii="仿宋" w:hAnsi="仿宋" w:eastAsia="仿宋" w:cs="仿宋"/>
          <w:spacing w:val="-31"/>
          <w:sz w:val="31"/>
          <w:szCs w:val="31"/>
        </w:rPr>
        <w:t xml:space="preserve"> </w:t>
      </w:r>
      <w:r>
        <w:rPr>
          <w:rFonts w:ascii="仿宋" w:hAnsi="仿宋" w:eastAsia="仿宋" w:cs="仿宋"/>
          <w:spacing w:val="6"/>
          <w:sz w:val="31"/>
          <w:szCs w:val="31"/>
        </w:rPr>
        <w:t>14.29%提升至</w:t>
      </w:r>
      <w:r>
        <w:rPr>
          <w:rFonts w:ascii="仿宋" w:hAnsi="仿宋" w:eastAsia="仿宋" w:cs="仿宋"/>
          <w:spacing w:val="-39"/>
          <w:sz w:val="31"/>
          <w:szCs w:val="31"/>
        </w:rPr>
        <w:t xml:space="preserve"> </w:t>
      </w:r>
      <w:r>
        <w:rPr>
          <w:rFonts w:ascii="仿宋" w:hAnsi="仿宋" w:eastAsia="仿宋" w:cs="仿宋"/>
          <w:spacing w:val="6"/>
          <w:sz w:val="31"/>
          <w:szCs w:val="31"/>
        </w:rPr>
        <w:t>22.22%。锂矿开发利用逐步提升为</w:t>
      </w:r>
      <w:r>
        <w:rPr>
          <w:rFonts w:ascii="仿宋" w:hAnsi="仿宋" w:eastAsia="仿宋" w:cs="仿宋"/>
          <w:spacing w:val="8"/>
          <w:sz w:val="31"/>
          <w:szCs w:val="31"/>
        </w:rPr>
        <w:t>中大型为主导，形成了马尔康党坝、金川李家沟锂矿开发资源基地，矿产资源开发利用布局和结构得到优化提升。</w:t>
      </w:r>
    </w:p>
    <w:p w14:paraId="23491012">
      <w:pPr>
        <w:pStyle w:val="2"/>
        <w:spacing w:before="8" w:line="320" w:lineRule="auto"/>
        <w:ind w:left="582" w:right="560" w:firstLine="641"/>
        <w:rPr>
          <w:rFonts w:ascii="仿宋" w:hAnsi="仿宋" w:eastAsia="仿宋" w:cs="仿宋"/>
          <w:sz w:val="31"/>
          <w:szCs w:val="31"/>
        </w:rPr>
      </w:pPr>
      <w:r>
        <w:rPr>
          <w:rFonts w:ascii="微软雅黑" w:hAnsi="微软雅黑" w:eastAsia="微软雅黑" w:cs="微软雅黑"/>
          <w:spacing w:val="6"/>
          <w:sz w:val="31"/>
          <w:szCs w:val="31"/>
        </w:rPr>
        <w:t>矿产资源利用与保护水平进一步提升</w:t>
      </w:r>
      <w:r>
        <w:rPr>
          <w:rFonts w:ascii="微软雅黑" w:hAnsi="微软雅黑" w:eastAsia="微软雅黑" w:cs="微软雅黑"/>
          <w:spacing w:val="-47"/>
          <w:sz w:val="31"/>
          <w:szCs w:val="31"/>
        </w:rPr>
        <w:t xml:space="preserve"> </w:t>
      </w:r>
      <w:r>
        <w:rPr>
          <w:spacing w:val="6"/>
          <w:sz w:val="31"/>
          <w:szCs w:val="31"/>
        </w:rPr>
        <w:t>.</w:t>
      </w:r>
      <w:r>
        <w:rPr>
          <w:spacing w:val="33"/>
          <w:sz w:val="31"/>
          <w:szCs w:val="31"/>
        </w:rPr>
        <w:t xml:space="preserve">  </w:t>
      </w:r>
      <w:r>
        <w:rPr>
          <w:rFonts w:ascii="仿宋" w:hAnsi="仿宋" w:eastAsia="仿宋" w:cs="仿宋"/>
          <w:spacing w:val="6"/>
          <w:sz w:val="31"/>
          <w:szCs w:val="31"/>
        </w:rPr>
        <w:t>上一轮《规划》</w:t>
      </w:r>
      <w:r>
        <w:rPr>
          <w:rFonts w:ascii="仿宋" w:hAnsi="仿宋" w:eastAsia="仿宋" w:cs="仿宋"/>
          <w:spacing w:val="9"/>
          <w:sz w:val="31"/>
          <w:szCs w:val="31"/>
        </w:rPr>
        <w:t>实施期间，我州大力转变资源开发增长方式，</w:t>
      </w:r>
      <w:r>
        <w:rPr>
          <w:rFonts w:ascii="仿宋" w:hAnsi="仿宋" w:eastAsia="仿宋" w:cs="仿宋"/>
          <w:spacing w:val="8"/>
          <w:sz w:val="31"/>
          <w:szCs w:val="31"/>
        </w:rPr>
        <w:t>推动矿产资源</w:t>
      </w:r>
      <w:r>
        <w:rPr>
          <w:rFonts w:ascii="仿宋" w:hAnsi="仿宋" w:eastAsia="仿宋" w:cs="仿宋"/>
          <w:spacing w:val="9"/>
          <w:sz w:val="31"/>
          <w:szCs w:val="31"/>
        </w:rPr>
        <w:t>开发利用与区域发展相协调，加强重要优势矿</w:t>
      </w:r>
      <w:r>
        <w:rPr>
          <w:rFonts w:ascii="仿宋" w:hAnsi="仿宋" w:eastAsia="仿宋" w:cs="仿宋"/>
          <w:spacing w:val="8"/>
          <w:sz w:val="31"/>
          <w:szCs w:val="31"/>
        </w:rPr>
        <w:t>产保护和开采</w:t>
      </w:r>
      <w:r>
        <w:rPr>
          <w:rFonts w:ascii="仿宋" w:hAnsi="仿宋" w:eastAsia="仿宋" w:cs="仿宋"/>
          <w:spacing w:val="9"/>
          <w:sz w:val="31"/>
          <w:szCs w:val="31"/>
        </w:rPr>
        <w:t>管理，有效控制矿产资源生产规模总量，加大</w:t>
      </w:r>
      <w:r>
        <w:rPr>
          <w:rFonts w:ascii="仿宋" w:hAnsi="仿宋" w:eastAsia="仿宋" w:cs="仿宋"/>
          <w:spacing w:val="8"/>
          <w:sz w:val="31"/>
          <w:szCs w:val="31"/>
        </w:rPr>
        <w:t>矿渣、废渣、</w:t>
      </w:r>
      <w:r>
        <w:rPr>
          <w:rFonts w:ascii="仿宋" w:hAnsi="仿宋" w:eastAsia="仿宋" w:cs="仿宋"/>
          <w:spacing w:val="21"/>
          <w:sz w:val="31"/>
          <w:szCs w:val="31"/>
        </w:rPr>
        <w:t>选矿废水循环利用，不断探索锂矿石伴生稀有金属综合利</w:t>
      </w:r>
      <w:r>
        <w:rPr>
          <w:rFonts w:ascii="仿宋" w:hAnsi="仿宋" w:eastAsia="仿宋" w:cs="仿宋"/>
          <w:spacing w:val="9"/>
          <w:sz w:val="31"/>
          <w:szCs w:val="31"/>
        </w:rPr>
        <w:t>用，开发利用结构不断优化，资源节约、保护</w:t>
      </w:r>
      <w:r>
        <w:rPr>
          <w:rFonts w:ascii="仿宋" w:hAnsi="仿宋" w:eastAsia="仿宋" w:cs="仿宋"/>
          <w:spacing w:val="8"/>
          <w:sz w:val="31"/>
          <w:szCs w:val="31"/>
        </w:rPr>
        <w:t>和高效利用模</w:t>
      </w:r>
      <w:r>
        <w:rPr>
          <w:rFonts w:ascii="仿宋" w:hAnsi="仿宋" w:eastAsia="仿宋" w:cs="仿宋"/>
          <w:spacing w:val="5"/>
          <w:sz w:val="31"/>
          <w:szCs w:val="31"/>
        </w:rPr>
        <w:t>式正在形成。</w:t>
      </w:r>
    </w:p>
    <w:p w14:paraId="41478C9A">
      <w:pPr>
        <w:spacing w:line="207" w:lineRule="exact"/>
      </w:pPr>
    </w:p>
    <w:tbl>
      <w:tblPr>
        <w:tblStyle w:val="5"/>
        <w:tblW w:w="9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8"/>
        <w:gridCol w:w="2955"/>
        <w:gridCol w:w="1372"/>
        <w:gridCol w:w="1462"/>
        <w:gridCol w:w="815"/>
        <w:gridCol w:w="1515"/>
      </w:tblGrid>
      <w:tr w14:paraId="0FC7D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427" w:type="dxa"/>
            <w:gridSpan w:val="6"/>
            <w:shd w:val="clear" w:color="auto" w:fill="BCE1C0"/>
            <w:vAlign w:val="top"/>
          </w:tcPr>
          <w:p w14:paraId="47880DDA">
            <w:pPr>
              <w:spacing w:before="154" w:line="223" w:lineRule="auto"/>
              <w:ind w:left="1766"/>
              <w:rPr>
                <w:rFonts w:ascii="黑体" w:hAnsi="黑体" w:eastAsia="黑体" w:cs="黑体"/>
                <w:sz w:val="28"/>
                <w:szCs w:val="28"/>
              </w:rPr>
            </w:pPr>
            <w:r>
              <w:rPr>
                <w:rFonts w:ascii="黑体" w:hAnsi="黑体" w:eastAsia="黑体" w:cs="黑体"/>
                <w:spacing w:val="2"/>
                <w:sz w:val="28"/>
                <w:szCs w:val="28"/>
              </w:rPr>
              <w:t>专栏3</w:t>
            </w:r>
            <w:r>
              <w:rPr>
                <w:rFonts w:ascii="黑体" w:hAnsi="黑体" w:eastAsia="黑体" w:cs="黑体"/>
                <w:spacing w:val="4"/>
                <w:sz w:val="28"/>
                <w:szCs w:val="28"/>
              </w:rPr>
              <w:t xml:space="preserve">   </w:t>
            </w:r>
            <w:r>
              <w:rPr>
                <w:rFonts w:ascii="黑体" w:hAnsi="黑体" w:eastAsia="黑体" w:cs="黑体"/>
                <w:spacing w:val="2"/>
                <w:sz w:val="28"/>
                <w:szCs w:val="28"/>
              </w:rPr>
              <w:t>矿产资源开发利用主要指标完成情况表</w:t>
            </w:r>
          </w:p>
        </w:tc>
      </w:tr>
      <w:tr w14:paraId="129CD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4263" w:type="dxa"/>
            <w:gridSpan w:val="2"/>
            <w:vAlign w:val="top"/>
          </w:tcPr>
          <w:p w14:paraId="3273F5D2">
            <w:pPr>
              <w:spacing w:before="45" w:line="215" w:lineRule="exact"/>
              <w:ind w:left="1734"/>
              <w:rPr>
                <w:rFonts w:ascii="微软雅黑" w:hAnsi="微软雅黑" w:eastAsia="微软雅黑" w:cs="微软雅黑"/>
                <w:sz w:val="21"/>
                <w:szCs w:val="21"/>
              </w:rPr>
            </w:pPr>
            <w:r>
              <w:rPr>
                <w:rFonts w:ascii="微软雅黑" w:hAnsi="微软雅黑" w:eastAsia="微软雅黑" w:cs="微软雅黑"/>
                <w:spacing w:val="-3"/>
                <w:position w:val="-1"/>
                <w:sz w:val="21"/>
                <w:szCs w:val="21"/>
              </w:rPr>
              <w:t>指       标</w:t>
            </w:r>
          </w:p>
        </w:tc>
        <w:tc>
          <w:tcPr>
            <w:tcW w:w="1372" w:type="dxa"/>
            <w:vAlign w:val="top"/>
          </w:tcPr>
          <w:p w14:paraId="4A8A3E79">
            <w:pPr>
              <w:spacing w:before="45" w:line="216" w:lineRule="exact"/>
              <w:ind w:left="283"/>
              <w:rPr>
                <w:rFonts w:ascii="微软雅黑" w:hAnsi="微软雅黑" w:eastAsia="微软雅黑" w:cs="微软雅黑"/>
                <w:sz w:val="21"/>
                <w:szCs w:val="21"/>
              </w:rPr>
            </w:pPr>
            <w:r>
              <w:rPr>
                <w:rFonts w:ascii="微软雅黑" w:hAnsi="微软雅黑" w:eastAsia="微软雅黑" w:cs="微软雅黑"/>
                <w:spacing w:val="-4"/>
                <w:position w:val="-1"/>
                <w:sz w:val="21"/>
                <w:szCs w:val="21"/>
              </w:rPr>
              <w:t>规划指标</w:t>
            </w:r>
          </w:p>
        </w:tc>
        <w:tc>
          <w:tcPr>
            <w:tcW w:w="1462" w:type="dxa"/>
            <w:vAlign w:val="top"/>
          </w:tcPr>
          <w:p w14:paraId="7F46D6B5">
            <w:pPr>
              <w:spacing w:before="36" w:line="214" w:lineRule="exact"/>
              <w:ind w:left="155"/>
              <w:rPr>
                <w:rFonts w:ascii="微软雅黑" w:hAnsi="微软雅黑" w:eastAsia="微软雅黑" w:cs="微软雅黑"/>
                <w:sz w:val="21"/>
                <w:szCs w:val="21"/>
              </w:rPr>
            </w:pPr>
            <w:r>
              <w:rPr>
                <w:rFonts w:ascii="微软雅黑" w:hAnsi="微软雅黑" w:eastAsia="微软雅黑" w:cs="微软雅黑"/>
                <w:spacing w:val="6"/>
                <w:position w:val="-1"/>
                <w:sz w:val="21"/>
                <w:szCs w:val="21"/>
              </w:rPr>
              <w:t>截止2020年</w:t>
            </w:r>
          </w:p>
        </w:tc>
        <w:tc>
          <w:tcPr>
            <w:tcW w:w="815" w:type="dxa"/>
            <w:vAlign w:val="top"/>
          </w:tcPr>
          <w:p w14:paraId="1286B998">
            <w:pPr>
              <w:spacing w:before="46" w:line="216" w:lineRule="exact"/>
              <w:ind w:left="210"/>
              <w:rPr>
                <w:rFonts w:ascii="微软雅黑" w:hAnsi="微软雅黑" w:eastAsia="微软雅黑" w:cs="微软雅黑"/>
                <w:sz w:val="21"/>
                <w:szCs w:val="21"/>
              </w:rPr>
            </w:pPr>
            <w:r>
              <w:rPr>
                <w:rFonts w:ascii="微软雅黑" w:hAnsi="微软雅黑" w:eastAsia="微软雅黑" w:cs="微软雅黑"/>
                <w:spacing w:val="-3"/>
                <w:position w:val="-1"/>
                <w:sz w:val="21"/>
                <w:szCs w:val="21"/>
              </w:rPr>
              <w:t>属性</w:t>
            </w:r>
          </w:p>
        </w:tc>
        <w:tc>
          <w:tcPr>
            <w:tcW w:w="1515" w:type="dxa"/>
            <w:vAlign w:val="top"/>
          </w:tcPr>
          <w:p w14:paraId="48991A48">
            <w:pPr>
              <w:spacing w:before="45" w:line="158" w:lineRule="auto"/>
              <w:ind w:left="196"/>
              <w:rPr>
                <w:rFonts w:ascii="微软雅黑" w:hAnsi="微软雅黑" w:eastAsia="微软雅黑" w:cs="微软雅黑"/>
                <w:sz w:val="21"/>
                <w:szCs w:val="21"/>
              </w:rPr>
            </w:pPr>
            <w:r>
              <w:rPr>
                <w:rFonts w:ascii="微软雅黑" w:hAnsi="微软雅黑" w:eastAsia="微软雅黑" w:cs="微软雅黑"/>
                <w:spacing w:val="-4"/>
                <w:sz w:val="21"/>
                <w:szCs w:val="21"/>
              </w:rPr>
              <w:t>完成情况(%)</w:t>
            </w:r>
          </w:p>
        </w:tc>
      </w:tr>
      <w:tr w14:paraId="1E279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263" w:type="dxa"/>
            <w:gridSpan w:val="2"/>
            <w:vAlign w:val="top"/>
          </w:tcPr>
          <w:p w14:paraId="241FC15C">
            <w:pPr>
              <w:pStyle w:val="6"/>
              <w:spacing w:before="21" w:line="208" w:lineRule="auto"/>
              <w:ind w:left="997"/>
              <w:rPr>
                <w:sz w:val="21"/>
                <w:szCs w:val="21"/>
              </w:rPr>
            </w:pPr>
            <w:r>
              <w:rPr>
                <w:spacing w:val="-1"/>
                <w:sz w:val="21"/>
                <w:szCs w:val="21"/>
              </w:rPr>
              <w:t>年底采矿权设置数（个）</w:t>
            </w:r>
          </w:p>
        </w:tc>
        <w:tc>
          <w:tcPr>
            <w:tcW w:w="1372" w:type="dxa"/>
            <w:vAlign w:val="top"/>
          </w:tcPr>
          <w:p w14:paraId="2F5B37C9">
            <w:pPr>
              <w:spacing w:before="18" w:line="238" w:lineRule="auto"/>
              <w:ind w:left="559"/>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120</w:t>
            </w:r>
          </w:p>
        </w:tc>
        <w:tc>
          <w:tcPr>
            <w:tcW w:w="1462" w:type="dxa"/>
            <w:vAlign w:val="top"/>
          </w:tcPr>
          <w:p w14:paraId="5841CFFF">
            <w:pPr>
              <w:spacing w:before="18" w:line="238" w:lineRule="auto"/>
              <w:ind w:left="63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27</w:t>
            </w:r>
          </w:p>
        </w:tc>
        <w:tc>
          <w:tcPr>
            <w:tcW w:w="815" w:type="dxa"/>
            <w:vMerge w:val="restart"/>
            <w:tcBorders>
              <w:bottom w:val="nil"/>
            </w:tcBorders>
            <w:vAlign w:val="top"/>
          </w:tcPr>
          <w:p w14:paraId="17FF0F38">
            <w:pPr>
              <w:spacing w:line="285" w:lineRule="auto"/>
              <w:rPr>
                <w:rFonts w:ascii="Arial"/>
                <w:sz w:val="21"/>
              </w:rPr>
            </w:pPr>
          </w:p>
          <w:p w14:paraId="4CE9C33A">
            <w:pPr>
              <w:spacing w:line="285" w:lineRule="auto"/>
              <w:rPr>
                <w:rFonts w:ascii="Arial"/>
                <w:sz w:val="21"/>
              </w:rPr>
            </w:pPr>
          </w:p>
          <w:p w14:paraId="21794CA3">
            <w:pPr>
              <w:spacing w:line="285" w:lineRule="auto"/>
              <w:rPr>
                <w:rFonts w:ascii="Arial"/>
                <w:sz w:val="21"/>
              </w:rPr>
            </w:pPr>
          </w:p>
          <w:p w14:paraId="30D82B7F">
            <w:pPr>
              <w:spacing w:line="286" w:lineRule="auto"/>
              <w:rPr>
                <w:rFonts w:ascii="Arial"/>
                <w:sz w:val="21"/>
              </w:rPr>
            </w:pPr>
          </w:p>
          <w:p w14:paraId="1A9EBD5B">
            <w:pPr>
              <w:spacing w:line="286" w:lineRule="auto"/>
              <w:rPr>
                <w:rFonts w:ascii="Arial"/>
                <w:sz w:val="21"/>
              </w:rPr>
            </w:pPr>
          </w:p>
          <w:p w14:paraId="25F87777">
            <w:pPr>
              <w:pStyle w:val="6"/>
              <w:spacing w:before="68" w:line="228" w:lineRule="auto"/>
              <w:ind w:left="322" w:right="182" w:hanging="101"/>
              <w:rPr>
                <w:sz w:val="21"/>
                <w:szCs w:val="21"/>
              </w:rPr>
            </w:pPr>
            <w:r>
              <w:rPr>
                <w:spacing w:val="-8"/>
                <w:sz w:val="21"/>
                <w:szCs w:val="21"/>
              </w:rPr>
              <w:t>预期</w:t>
            </w:r>
            <w:r>
              <w:rPr>
                <w:sz w:val="21"/>
                <w:szCs w:val="21"/>
              </w:rPr>
              <w:t>性</w:t>
            </w:r>
          </w:p>
        </w:tc>
        <w:tc>
          <w:tcPr>
            <w:tcW w:w="1515" w:type="dxa"/>
            <w:vAlign w:val="top"/>
          </w:tcPr>
          <w:p w14:paraId="76D9DCCC">
            <w:pPr>
              <w:spacing w:before="18" w:line="238"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22.5</w:t>
            </w:r>
          </w:p>
        </w:tc>
      </w:tr>
      <w:tr w14:paraId="0DA2A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restart"/>
            <w:tcBorders>
              <w:bottom w:val="nil"/>
            </w:tcBorders>
            <w:vAlign w:val="top"/>
          </w:tcPr>
          <w:p w14:paraId="3FF0B0C8">
            <w:pPr>
              <w:spacing w:line="256" w:lineRule="auto"/>
              <w:rPr>
                <w:rFonts w:ascii="Arial"/>
                <w:sz w:val="21"/>
              </w:rPr>
            </w:pPr>
          </w:p>
          <w:p w14:paraId="5B56BA23">
            <w:pPr>
              <w:spacing w:line="257" w:lineRule="auto"/>
              <w:rPr>
                <w:rFonts w:ascii="Arial"/>
                <w:sz w:val="21"/>
              </w:rPr>
            </w:pPr>
          </w:p>
          <w:p w14:paraId="3EC07FF1">
            <w:pPr>
              <w:spacing w:line="257" w:lineRule="auto"/>
              <w:rPr>
                <w:rFonts w:ascii="Arial"/>
                <w:sz w:val="21"/>
              </w:rPr>
            </w:pPr>
          </w:p>
          <w:p w14:paraId="3C3CB343">
            <w:pPr>
              <w:spacing w:line="257" w:lineRule="auto"/>
              <w:rPr>
                <w:rFonts w:ascii="Arial"/>
                <w:sz w:val="21"/>
              </w:rPr>
            </w:pPr>
          </w:p>
          <w:p w14:paraId="5270FFE5">
            <w:pPr>
              <w:pStyle w:val="6"/>
              <w:spacing w:before="68" w:line="229" w:lineRule="auto"/>
              <w:ind w:left="258" w:right="114" w:hanging="103"/>
              <w:rPr>
                <w:sz w:val="21"/>
                <w:szCs w:val="21"/>
              </w:rPr>
            </w:pPr>
            <w:r>
              <w:rPr>
                <w:spacing w:val="-4"/>
                <w:sz w:val="21"/>
                <w:szCs w:val="21"/>
              </w:rPr>
              <w:t>重要矿产年</w:t>
            </w:r>
            <w:r>
              <w:rPr>
                <w:spacing w:val="-3"/>
                <w:sz w:val="21"/>
                <w:szCs w:val="21"/>
              </w:rPr>
              <w:t>开采总量</w:t>
            </w:r>
          </w:p>
        </w:tc>
        <w:tc>
          <w:tcPr>
            <w:tcW w:w="2955" w:type="dxa"/>
            <w:vAlign w:val="top"/>
          </w:tcPr>
          <w:p w14:paraId="057E8CD4">
            <w:pPr>
              <w:pStyle w:val="6"/>
              <w:spacing w:before="17" w:line="208" w:lineRule="auto"/>
              <w:ind w:left="116"/>
              <w:rPr>
                <w:sz w:val="21"/>
                <w:szCs w:val="21"/>
              </w:rPr>
            </w:pPr>
            <w:r>
              <w:rPr>
                <w:spacing w:val="-2"/>
                <w:sz w:val="21"/>
                <w:szCs w:val="21"/>
              </w:rPr>
              <w:t>金（矿石万吨）</w:t>
            </w:r>
          </w:p>
        </w:tc>
        <w:tc>
          <w:tcPr>
            <w:tcW w:w="1372" w:type="dxa"/>
            <w:vAlign w:val="top"/>
          </w:tcPr>
          <w:p w14:paraId="189E0447">
            <w:pPr>
              <w:spacing w:before="13" w:line="239"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80</w:t>
            </w:r>
          </w:p>
        </w:tc>
        <w:tc>
          <w:tcPr>
            <w:tcW w:w="1462" w:type="dxa"/>
            <w:vAlign w:val="top"/>
          </w:tcPr>
          <w:p w14:paraId="748E2DFB">
            <w:pPr>
              <w:spacing w:before="13" w:line="239" w:lineRule="auto"/>
              <w:ind w:left="526"/>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10.13</w:t>
            </w:r>
          </w:p>
        </w:tc>
        <w:tc>
          <w:tcPr>
            <w:tcW w:w="815" w:type="dxa"/>
            <w:vMerge w:val="continue"/>
            <w:tcBorders>
              <w:top w:val="nil"/>
              <w:bottom w:val="nil"/>
            </w:tcBorders>
            <w:vAlign w:val="top"/>
          </w:tcPr>
          <w:p w14:paraId="1A67E1F7">
            <w:pPr>
              <w:rPr>
                <w:rFonts w:ascii="Arial"/>
                <w:sz w:val="21"/>
              </w:rPr>
            </w:pPr>
          </w:p>
        </w:tc>
        <w:tc>
          <w:tcPr>
            <w:tcW w:w="1515" w:type="dxa"/>
            <w:vAlign w:val="top"/>
          </w:tcPr>
          <w:p w14:paraId="13FE9C51">
            <w:pPr>
              <w:spacing w:before="13" w:line="239" w:lineRule="auto"/>
              <w:ind w:left="54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12.66</w:t>
            </w:r>
          </w:p>
        </w:tc>
      </w:tr>
      <w:tr w14:paraId="5847C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continue"/>
            <w:tcBorders>
              <w:top w:val="nil"/>
              <w:bottom w:val="nil"/>
            </w:tcBorders>
            <w:vAlign w:val="top"/>
          </w:tcPr>
          <w:p w14:paraId="20D72F51">
            <w:pPr>
              <w:rPr>
                <w:rFonts w:ascii="Arial"/>
                <w:sz w:val="21"/>
              </w:rPr>
            </w:pPr>
          </w:p>
        </w:tc>
        <w:tc>
          <w:tcPr>
            <w:tcW w:w="2955" w:type="dxa"/>
            <w:vAlign w:val="top"/>
          </w:tcPr>
          <w:p w14:paraId="6E94B83D">
            <w:pPr>
              <w:pStyle w:val="6"/>
              <w:spacing w:before="16" w:line="209" w:lineRule="auto"/>
              <w:ind w:left="117"/>
              <w:rPr>
                <w:sz w:val="21"/>
                <w:szCs w:val="21"/>
              </w:rPr>
            </w:pPr>
            <w:r>
              <w:rPr>
                <w:spacing w:val="-2"/>
                <w:sz w:val="21"/>
                <w:szCs w:val="21"/>
              </w:rPr>
              <w:t>铁（矿石万吨）</w:t>
            </w:r>
          </w:p>
        </w:tc>
        <w:tc>
          <w:tcPr>
            <w:tcW w:w="1372" w:type="dxa"/>
            <w:vAlign w:val="top"/>
          </w:tcPr>
          <w:p w14:paraId="681179B5">
            <w:pPr>
              <w:spacing w:before="13" w:line="239" w:lineRule="auto"/>
              <w:ind w:left="559"/>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150</w:t>
            </w:r>
          </w:p>
        </w:tc>
        <w:tc>
          <w:tcPr>
            <w:tcW w:w="1462" w:type="dxa"/>
            <w:vAlign w:val="top"/>
          </w:tcPr>
          <w:p w14:paraId="69095E58">
            <w:pPr>
              <w:pStyle w:val="6"/>
              <w:spacing w:before="16" w:line="209" w:lineRule="auto"/>
              <w:ind w:left="647"/>
              <w:rPr>
                <w:sz w:val="21"/>
                <w:szCs w:val="21"/>
              </w:rPr>
            </w:pPr>
            <w:r>
              <w:rPr>
                <w:spacing w:val="-8"/>
                <w:sz w:val="21"/>
                <w:szCs w:val="21"/>
              </w:rPr>
              <w:t>29</w:t>
            </w:r>
          </w:p>
        </w:tc>
        <w:tc>
          <w:tcPr>
            <w:tcW w:w="815" w:type="dxa"/>
            <w:vMerge w:val="continue"/>
            <w:tcBorders>
              <w:top w:val="nil"/>
              <w:bottom w:val="nil"/>
            </w:tcBorders>
            <w:vAlign w:val="top"/>
          </w:tcPr>
          <w:p w14:paraId="1E9900D7">
            <w:pPr>
              <w:rPr>
                <w:rFonts w:ascii="Arial"/>
                <w:sz w:val="21"/>
              </w:rPr>
            </w:pPr>
          </w:p>
        </w:tc>
        <w:tc>
          <w:tcPr>
            <w:tcW w:w="1515" w:type="dxa"/>
            <w:vAlign w:val="top"/>
          </w:tcPr>
          <w:p w14:paraId="759D8441">
            <w:pPr>
              <w:spacing w:before="13" w:line="239" w:lineRule="auto"/>
              <w:ind w:left="588"/>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8.44</w:t>
            </w:r>
          </w:p>
        </w:tc>
      </w:tr>
      <w:tr w14:paraId="4BD84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308" w:type="dxa"/>
            <w:vMerge w:val="continue"/>
            <w:tcBorders>
              <w:top w:val="nil"/>
              <w:bottom w:val="nil"/>
            </w:tcBorders>
            <w:vAlign w:val="top"/>
          </w:tcPr>
          <w:p w14:paraId="1674310B">
            <w:pPr>
              <w:rPr>
                <w:rFonts w:ascii="Arial"/>
                <w:sz w:val="21"/>
              </w:rPr>
            </w:pPr>
          </w:p>
        </w:tc>
        <w:tc>
          <w:tcPr>
            <w:tcW w:w="2955" w:type="dxa"/>
            <w:vAlign w:val="top"/>
          </w:tcPr>
          <w:p w14:paraId="562E0BDF">
            <w:pPr>
              <w:pStyle w:val="6"/>
              <w:spacing w:before="16" w:line="208" w:lineRule="auto"/>
              <w:ind w:left="113"/>
              <w:rPr>
                <w:sz w:val="21"/>
                <w:szCs w:val="21"/>
              </w:rPr>
            </w:pPr>
            <w:r>
              <w:rPr>
                <w:spacing w:val="-1"/>
                <w:sz w:val="21"/>
                <w:szCs w:val="21"/>
              </w:rPr>
              <w:t>水泥用灰岩（万吨）</w:t>
            </w:r>
          </w:p>
        </w:tc>
        <w:tc>
          <w:tcPr>
            <w:tcW w:w="1372" w:type="dxa"/>
            <w:vAlign w:val="top"/>
          </w:tcPr>
          <w:p w14:paraId="0792D636">
            <w:pPr>
              <w:spacing w:before="18" w:line="233" w:lineRule="auto"/>
              <w:ind w:left="54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500</w:t>
            </w:r>
          </w:p>
        </w:tc>
        <w:tc>
          <w:tcPr>
            <w:tcW w:w="1462" w:type="dxa"/>
            <w:vAlign w:val="top"/>
          </w:tcPr>
          <w:p w14:paraId="5C5B7754">
            <w:pPr>
              <w:pStyle w:val="6"/>
              <w:spacing w:before="16" w:line="208" w:lineRule="auto"/>
              <w:ind w:left="646"/>
              <w:rPr>
                <w:sz w:val="21"/>
                <w:szCs w:val="21"/>
              </w:rPr>
            </w:pPr>
            <w:r>
              <w:rPr>
                <w:spacing w:val="-8"/>
                <w:sz w:val="21"/>
                <w:szCs w:val="21"/>
              </w:rPr>
              <w:t>45</w:t>
            </w:r>
          </w:p>
        </w:tc>
        <w:tc>
          <w:tcPr>
            <w:tcW w:w="815" w:type="dxa"/>
            <w:vMerge w:val="continue"/>
            <w:tcBorders>
              <w:top w:val="nil"/>
              <w:bottom w:val="nil"/>
            </w:tcBorders>
            <w:vAlign w:val="top"/>
          </w:tcPr>
          <w:p w14:paraId="07659498">
            <w:pPr>
              <w:rPr>
                <w:rFonts w:ascii="Arial"/>
                <w:sz w:val="21"/>
              </w:rPr>
            </w:pPr>
          </w:p>
        </w:tc>
        <w:tc>
          <w:tcPr>
            <w:tcW w:w="1515" w:type="dxa"/>
            <w:vAlign w:val="top"/>
          </w:tcPr>
          <w:p w14:paraId="1815AB2C">
            <w:pPr>
              <w:spacing w:before="18" w:line="233" w:lineRule="auto"/>
              <w:ind w:left="63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9.0</w:t>
            </w:r>
          </w:p>
        </w:tc>
      </w:tr>
      <w:tr w14:paraId="6A2BB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308" w:type="dxa"/>
            <w:vMerge w:val="continue"/>
            <w:tcBorders>
              <w:top w:val="nil"/>
              <w:bottom w:val="nil"/>
            </w:tcBorders>
            <w:vAlign w:val="top"/>
          </w:tcPr>
          <w:p w14:paraId="1A4B09CE">
            <w:pPr>
              <w:rPr>
                <w:rFonts w:ascii="Arial"/>
                <w:sz w:val="21"/>
              </w:rPr>
            </w:pPr>
          </w:p>
        </w:tc>
        <w:tc>
          <w:tcPr>
            <w:tcW w:w="2955" w:type="dxa"/>
            <w:vAlign w:val="top"/>
          </w:tcPr>
          <w:p w14:paraId="000DBFE4">
            <w:pPr>
              <w:pStyle w:val="6"/>
              <w:spacing w:before="22" w:line="207" w:lineRule="auto"/>
              <w:ind w:left="119"/>
              <w:rPr>
                <w:sz w:val="21"/>
                <w:szCs w:val="21"/>
              </w:rPr>
            </w:pPr>
            <w:r>
              <w:rPr>
                <w:spacing w:val="-2"/>
                <w:sz w:val="21"/>
                <w:szCs w:val="21"/>
              </w:rPr>
              <w:t>锂辉石矿（矿石万吨）</w:t>
            </w:r>
          </w:p>
        </w:tc>
        <w:tc>
          <w:tcPr>
            <w:tcW w:w="1372" w:type="dxa"/>
            <w:vAlign w:val="top"/>
          </w:tcPr>
          <w:p w14:paraId="51D7D4BD">
            <w:pPr>
              <w:spacing w:before="18" w:line="238" w:lineRule="auto"/>
              <w:ind w:left="559"/>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100</w:t>
            </w:r>
          </w:p>
        </w:tc>
        <w:tc>
          <w:tcPr>
            <w:tcW w:w="1462" w:type="dxa"/>
            <w:vAlign w:val="top"/>
          </w:tcPr>
          <w:p w14:paraId="642C0901">
            <w:pPr>
              <w:pStyle w:val="6"/>
              <w:spacing w:before="22" w:line="207" w:lineRule="auto"/>
              <w:ind w:left="541"/>
              <w:rPr>
                <w:sz w:val="21"/>
                <w:szCs w:val="21"/>
              </w:rPr>
            </w:pPr>
            <w:r>
              <w:rPr>
                <w:spacing w:val="-4"/>
                <w:sz w:val="21"/>
                <w:szCs w:val="21"/>
              </w:rPr>
              <w:t>2.38</w:t>
            </w:r>
          </w:p>
        </w:tc>
        <w:tc>
          <w:tcPr>
            <w:tcW w:w="815" w:type="dxa"/>
            <w:vMerge w:val="continue"/>
            <w:tcBorders>
              <w:top w:val="nil"/>
              <w:bottom w:val="nil"/>
            </w:tcBorders>
            <w:vAlign w:val="top"/>
          </w:tcPr>
          <w:p w14:paraId="311033EA">
            <w:pPr>
              <w:rPr>
                <w:rFonts w:ascii="Arial"/>
                <w:sz w:val="21"/>
              </w:rPr>
            </w:pPr>
          </w:p>
        </w:tc>
        <w:tc>
          <w:tcPr>
            <w:tcW w:w="1515" w:type="dxa"/>
            <w:vAlign w:val="top"/>
          </w:tcPr>
          <w:p w14:paraId="2D7D1031">
            <w:pPr>
              <w:spacing w:before="18" w:line="238" w:lineRule="auto"/>
              <w:ind w:left="5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2.38</w:t>
            </w:r>
          </w:p>
        </w:tc>
      </w:tr>
      <w:tr w14:paraId="6F02E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308" w:type="dxa"/>
            <w:vMerge w:val="continue"/>
            <w:tcBorders>
              <w:top w:val="nil"/>
              <w:bottom w:val="nil"/>
            </w:tcBorders>
            <w:vAlign w:val="top"/>
          </w:tcPr>
          <w:p w14:paraId="55BC8A21">
            <w:pPr>
              <w:rPr>
                <w:rFonts w:ascii="Arial"/>
                <w:sz w:val="21"/>
              </w:rPr>
            </w:pPr>
          </w:p>
        </w:tc>
        <w:tc>
          <w:tcPr>
            <w:tcW w:w="2955" w:type="dxa"/>
            <w:vAlign w:val="top"/>
          </w:tcPr>
          <w:p w14:paraId="48304CCA">
            <w:pPr>
              <w:pStyle w:val="6"/>
              <w:spacing w:before="17" w:line="207" w:lineRule="auto"/>
              <w:ind w:left="111"/>
              <w:rPr>
                <w:sz w:val="21"/>
                <w:szCs w:val="21"/>
              </w:rPr>
            </w:pPr>
            <w:r>
              <w:rPr>
                <w:spacing w:val="-1"/>
                <w:sz w:val="21"/>
                <w:szCs w:val="21"/>
              </w:rPr>
              <w:t>锰矿（矿石万吨）</w:t>
            </w:r>
          </w:p>
        </w:tc>
        <w:tc>
          <w:tcPr>
            <w:tcW w:w="1372" w:type="dxa"/>
            <w:vAlign w:val="top"/>
          </w:tcPr>
          <w:p w14:paraId="33FCD867">
            <w:pPr>
              <w:spacing w:before="14" w:line="237" w:lineRule="auto"/>
              <w:ind w:left="59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50</w:t>
            </w:r>
          </w:p>
        </w:tc>
        <w:tc>
          <w:tcPr>
            <w:tcW w:w="1462" w:type="dxa"/>
            <w:vAlign w:val="top"/>
          </w:tcPr>
          <w:p w14:paraId="38270A63">
            <w:pPr>
              <w:spacing w:before="171" w:line="81"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6B0C2AA9">
            <w:pPr>
              <w:rPr>
                <w:rFonts w:ascii="Arial"/>
                <w:sz w:val="21"/>
              </w:rPr>
            </w:pPr>
          </w:p>
        </w:tc>
        <w:tc>
          <w:tcPr>
            <w:tcW w:w="1515" w:type="dxa"/>
            <w:vAlign w:val="top"/>
          </w:tcPr>
          <w:p w14:paraId="3192ADB9">
            <w:pPr>
              <w:spacing w:before="171" w:line="81"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220F0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308" w:type="dxa"/>
            <w:vMerge w:val="continue"/>
            <w:tcBorders>
              <w:top w:val="nil"/>
              <w:bottom w:val="nil"/>
            </w:tcBorders>
            <w:vAlign w:val="top"/>
          </w:tcPr>
          <w:p w14:paraId="01FCCA7F">
            <w:pPr>
              <w:rPr>
                <w:rFonts w:ascii="Arial"/>
                <w:sz w:val="21"/>
              </w:rPr>
            </w:pPr>
          </w:p>
        </w:tc>
        <w:tc>
          <w:tcPr>
            <w:tcW w:w="2955" w:type="dxa"/>
            <w:vAlign w:val="top"/>
          </w:tcPr>
          <w:p w14:paraId="707EB5B2">
            <w:pPr>
              <w:pStyle w:val="6"/>
              <w:spacing w:before="18" w:line="206" w:lineRule="auto"/>
              <w:ind w:left="123"/>
              <w:rPr>
                <w:sz w:val="21"/>
                <w:szCs w:val="21"/>
              </w:rPr>
            </w:pPr>
            <w:r>
              <w:rPr>
                <w:spacing w:val="-2"/>
                <w:sz w:val="21"/>
                <w:szCs w:val="21"/>
              </w:rPr>
              <w:t>冶金石英岩（矿石万吨）</w:t>
            </w:r>
          </w:p>
        </w:tc>
        <w:tc>
          <w:tcPr>
            <w:tcW w:w="1372" w:type="dxa"/>
            <w:vAlign w:val="top"/>
          </w:tcPr>
          <w:p w14:paraId="0A43337D">
            <w:pPr>
              <w:spacing w:before="15" w:line="236" w:lineRule="auto"/>
              <w:ind w:left="611"/>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16</w:t>
            </w:r>
          </w:p>
        </w:tc>
        <w:tc>
          <w:tcPr>
            <w:tcW w:w="1462" w:type="dxa"/>
            <w:vAlign w:val="top"/>
          </w:tcPr>
          <w:p w14:paraId="529EA182">
            <w:pPr>
              <w:spacing w:before="171" w:line="81"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100986EE">
            <w:pPr>
              <w:rPr>
                <w:rFonts w:ascii="Arial"/>
                <w:sz w:val="21"/>
              </w:rPr>
            </w:pPr>
          </w:p>
        </w:tc>
        <w:tc>
          <w:tcPr>
            <w:tcW w:w="1515" w:type="dxa"/>
            <w:vAlign w:val="top"/>
          </w:tcPr>
          <w:p w14:paraId="6E77CD61">
            <w:pPr>
              <w:spacing w:before="171" w:line="81"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66C74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continue"/>
            <w:tcBorders>
              <w:top w:val="nil"/>
              <w:bottom w:val="nil"/>
            </w:tcBorders>
            <w:vAlign w:val="top"/>
          </w:tcPr>
          <w:p w14:paraId="19C897C0">
            <w:pPr>
              <w:rPr>
                <w:rFonts w:ascii="Arial"/>
                <w:sz w:val="21"/>
              </w:rPr>
            </w:pPr>
          </w:p>
        </w:tc>
        <w:tc>
          <w:tcPr>
            <w:tcW w:w="2955" w:type="dxa"/>
            <w:vAlign w:val="top"/>
          </w:tcPr>
          <w:p w14:paraId="34A7F7A5">
            <w:pPr>
              <w:pStyle w:val="6"/>
              <w:spacing w:before="19" w:line="206" w:lineRule="auto"/>
              <w:ind w:left="122"/>
              <w:rPr>
                <w:sz w:val="21"/>
                <w:szCs w:val="21"/>
              </w:rPr>
            </w:pPr>
            <w:r>
              <w:rPr>
                <w:spacing w:val="-2"/>
                <w:sz w:val="21"/>
                <w:szCs w:val="21"/>
              </w:rPr>
              <w:t>石榴子（矿石万吨）</w:t>
            </w:r>
          </w:p>
        </w:tc>
        <w:tc>
          <w:tcPr>
            <w:tcW w:w="1372" w:type="dxa"/>
            <w:vAlign w:val="top"/>
          </w:tcPr>
          <w:p w14:paraId="100318AD">
            <w:pPr>
              <w:spacing w:before="20" w:line="232" w:lineRule="auto"/>
              <w:ind w:left="649"/>
              <w:rPr>
                <w:rFonts w:ascii="Times New Roman" w:hAnsi="Times New Roman" w:eastAsia="Times New Roman" w:cs="Times New Roman"/>
                <w:sz w:val="21"/>
                <w:szCs w:val="21"/>
              </w:rPr>
            </w:pPr>
            <w:r>
              <w:rPr>
                <w:rFonts w:ascii="Times New Roman" w:hAnsi="Times New Roman" w:eastAsia="Times New Roman" w:cs="Times New Roman"/>
                <w:sz w:val="21"/>
                <w:szCs w:val="21"/>
              </w:rPr>
              <w:t>6</w:t>
            </w:r>
          </w:p>
        </w:tc>
        <w:tc>
          <w:tcPr>
            <w:tcW w:w="1462" w:type="dxa"/>
            <w:vAlign w:val="top"/>
          </w:tcPr>
          <w:p w14:paraId="590B5B29">
            <w:pPr>
              <w:spacing w:before="177" w:line="77"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74489929">
            <w:pPr>
              <w:rPr>
                <w:rFonts w:ascii="Arial"/>
                <w:sz w:val="21"/>
              </w:rPr>
            </w:pPr>
          </w:p>
        </w:tc>
        <w:tc>
          <w:tcPr>
            <w:tcW w:w="1515" w:type="dxa"/>
            <w:vAlign w:val="top"/>
          </w:tcPr>
          <w:p w14:paraId="3DAEC57B">
            <w:pPr>
              <w:spacing w:before="177" w:line="77"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497C5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308" w:type="dxa"/>
            <w:vMerge w:val="continue"/>
            <w:tcBorders>
              <w:top w:val="nil"/>
              <w:bottom w:val="nil"/>
            </w:tcBorders>
            <w:vAlign w:val="top"/>
          </w:tcPr>
          <w:p w14:paraId="48BB659A">
            <w:pPr>
              <w:rPr>
                <w:rFonts w:ascii="Arial"/>
                <w:sz w:val="21"/>
              </w:rPr>
            </w:pPr>
          </w:p>
        </w:tc>
        <w:tc>
          <w:tcPr>
            <w:tcW w:w="2955" w:type="dxa"/>
            <w:vAlign w:val="top"/>
          </w:tcPr>
          <w:p w14:paraId="26757C4D">
            <w:pPr>
              <w:pStyle w:val="6"/>
              <w:spacing w:before="23" w:line="206" w:lineRule="auto"/>
              <w:ind w:left="115"/>
              <w:rPr>
                <w:sz w:val="21"/>
                <w:szCs w:val="21"/>
              </w:rPr>
            </w:pPr>
            <w:r>
              <w:rPr>
                <w:spacing w:val="-1"/>
                <w:sz w:val="21"/>
                <w:szCs w:val="21"/>
              </w:rPr>
              <w:t>钠长石（矿石万吨）</w:t>
            </w:r>
          </w:p>
        </w:tc>
        <w:tc>
          <w:tcPr>
            <w:tcW w:w="1372" w:type="dxa"/>
            <w:vAlign w:val="top"/>
          </w:tcPr>
          <w:p w14:paraId="6AEC7E8F">
            <w:pPr>
              <w:spacing w:before="20" w:line="236" w:lineRule="auto"/>
              <w:ind w:left="59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28</w:t>
            </w:r>
          </w:p>
        </w:tc>
        <w:tc>
          <w:tcPr>
            <w:tcW w:w="1462" w:type="dxa"/>
            <w:vAlign w:val="top"/>
          </w:tcPr>
          <w:p w14:paraId="1BCF13E1">
            <w:pPr>
              <w:spacing w:before="177" w:line="80"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234EC9DF">
            <w:pPr>
              <w:rPr>
                <w:rFonts w:ascii="Arial"/>
                <w:sz w:val="21"/>
              </w:rPr>
            </w:pPr>
          </w:p>
        </w:tc>
        <w:tc>
          <w:tcPr>
            <w:tcW w:w="1515" w:type="dxa"/>
            <w:vAlign w:val="top"/>
          </w:tcPr>
          <w:p w14:paraId="6B7113C0">
            <w:pPr>
              <w:spacing w:before="177" w:line="80"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2542F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continue"/>
            <w:tcBorders>
              <w:top w:val="nil"/>
              <w:bottom w:val="nil"/>
            </w:tcBorders>
            <w:vAlign w:val="top"/>
          </w:tcPr>
          <w:p w14:paraId="094CEF3A">
            <w:pPr>
              <w:rPr>
                <w:rFonts w:ascii="Arial"/>
                <w:sz w:val="21"/>
              </w:rPr>
            </w:pPr>
          </w:p>
        </w:tc>
        <w:tc>
          <w:tcPr>
            <w:tcW w:w="2955" w:type="dxa"/>
            <w:vAlign w:val="top"/>
          </w:tcPr>
          <w:p w14:paraId="76613C95">
            <w:pPr>
              <w:pStyle w:val="6"/>
              <w:spacing w:before="19" w:line="206" w:lineRule="auto"/>
              <w:jc w:val="right"/>
              <w:rPr>
                <w:sz w:val="21"/>
                <w:szCs w:val="21"/>
              </w:rPr>
            </w:pPr>
            <w:r>
              <w:rPr>
                <w:spacing w:val="-9"/>
                <w:sz w:val="21"/>
                <w:szCs w:val="21"/>
              </w:rPr>
              <w:t>大理石花岗石（矿石万立方米）</w:t>
            </w:r>
          </w:p>
        </w:tc>
        <w:tc>
          <w:tcPr>
            <w:tcW w:w="1372" w:type="dxa"/>
            <w:vAlign w:val="top"/>
          </w:tcPr>
          <w:p w14:paraId="296F77C5">
            <w:pPr>
              <w:spacing w:before="16" w:line="236" w:lineRule="auto"/>
              <w:ind w:left="611"/>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10</w:t>
            </w:r>
          </w:p>
        </w:tc>
        <w:tc>
          <w:tcPr>
            <w:tcW w:w="1462" w:type="dxa"/>
            <w:vAlign w:val="top"/>
          </w:tcPr>
          <w:p w14:paraId="4C6E9F15">
            <w:pPr>
              <w:spacing w:before="172" w:line="82"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1850F014">
            <w:pPr>
              <w:rPr>
                <w:rFonts w:ascii="Arial"/>
                <w:sz w:val="21"/>
              </w:rPr>
            </w:pPr>
          </w:p>
        </w:tc>
        <w:tc>
          <w:tcPr>
            <w:tcW w:w="1515" w:type="dxa"/>
            <w:vAlign w:val="top"/>
          </w:tcPr>
          <w:p w14:paraId="66959250">
            <w:pPr>
              <w:spacing w:before="172" w:line="82"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32299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continue"/>
            <w:tcBorders>
              <w:top w:val="nil"/>
            </w:tcBorders>
            <w:vAlign w:val="top"/>
          </w:tcPr>
          <w:p w14:paraId="67C994A7">
            <w:pPr>
              <w:rPr>
                <w:rFonts w:ascii="Arial"/>
                <w:sz w:val="21"/>
              </w:rPr>
            </w:pPr>
          </w:p>
        </w:tc>
        <w:tc>
          <w:tcPr>
            <w:tcW w:w="2955" w:type="dxa"/>
            <w:vAlign w:val="top"/>
          </w:tcPr>
          <w:p w14:paraId="6701F870">
            <w:pPr>
              <w:pStyle w:val="6"/>
              <w:spacing w:before="19" w:line="206" w:lineRule="auto"/>
              <w:ind w:left="122"/>
              <w:rPr>
                <w:sz w:val="21"/>
                <w:szCs w:val="21"/>
              </w:rPr>
            </w:pPr>
            <w:r>
              <w:rPr>
                <w:spacing w:val="-3"/>
                <w:sz w:val="21"/>
                <w:szCs w:val="21"/>
              </w:rPr>
              <w:t>石膏（矿石万吨）</w:t>
            </w:r>
          </w:p>
        </w:tc>
        <w:tc>
          <w:tcPr>
            <w:tcW w:w="1372" w:type="dxa"/>
            <w:vAlign w:val="top"/>
          </w:tcPr>
          <w:p w14:paraId="52871CDB">
            <w:pPr>
              <w:spacing w:before="16" w:line="236" w:lineRule="auto"/>
              <w:ind w:left="611"/>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15</w:t>
            </w:r>
          </w:p>
        </w:tc>
        <w:tc>
          <w:tcPr>
            <w:tcW w:w="1462" w:type="dxa"/>
            <w:vAlign w:val="top"/>
          </w:tcPr>
          <w:p w14:paraId="5792DA5F">
            <w:pPr>
              <w:spacing w:before="172" w:line="82" w:lineRule="exact"/>
              <w:ind w:left="711"/>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c>
          <w:tcPr>
            <w:tcW w:w="815" w:type="dxa"/>
            <w:vMerge w:val="continue"/>
            <w:tcBorders>
              <w:top w:val="nil"/>
              <w:bottom w:val="nil"/>
            </w:tcBorders>
            <w:vAlign w:val="top"/>
          </w:tcPr>
          <w:p w14:paraId="36911C1B">
            <w:pPr>
              <w:rPr>
                <w:rFonts w:ascii="Arial"/>
                <w:sz w:val="21"/>
              </w:rPr>
            </w:pPr>
          </w:p>
        </w:tc>
        <w:tc>
          <w:tcPr>
            <w:tcW w:w="1515" w:type="dxa"/>
            <w:vAlign w:val="top"/>
          </w:tcPr>
          <w:p w14:paraId="58328934">
            <w:pPr>
              <w:spacing w:before="172" w:line="82" w:lineRule="exact"/>
              <w:ind w:left="733"/>
              <w:rPr>
                <w:rFonts w:ascii="Times New Roman" w:hAnsi="Times New Roman" w:eastAsia="Times New Roman" w:cs="Times New Roman"/>
                <w:sz w:val="21"/>
                <w:szCs w:val="21"/>
              </w:rPr>
            </w:pPr>
            <w:r>
              <w:rPr>
                <w:rFonts w:ascii="Times New Roman" w:hAnsi="Times New Roman" w:eastAsia="Times New Roman" w:cs="Times New Roman"/>
                <w:position w:val="-2"/>
                <w:sz w:val="21"/>
                <w:szCs w:val="21"/>
              </w:rPr>
              <w:t>-</w:t>
            </w:r>
          </w:p>
        </w:tc>
      </w:tr>
      <w:tr w14:paraId="1C9E2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308" w:type="dxa"/>
            <w:vAlign w:val="top"/>
          </w:tcPr>
          <w:p w14:paraId="4280637D">
            <w:pPr>
              <w:pStyle w:val="6"/>
              <w:spacing w:before="19" w:line="218" w:lineRule="auto"/>
              <w:ind w:left="149"/>
              <w:rPr>
                <w:sz w:val="21"/>
                <w:szCs w:val="21"/>
              </w:rPr>
            </w:pPr>
            <w:r>
              <w:rPr>
                <w:spacing w:val="-2"/>
                <w:sz w:val="21"/>
                <w:szCs w:val="21"/>
              </w:rPr>
              <w:t>矿产资源开</w:t>
            </w:r>
          </w:p>
          <w:p w14:paraId="41BE4010">
            <w:pPr>
              <w:pStyle w:val="6"/>
              <w:spacing w:before="15" w:line="206" w:lineRule="auto"/>
              <w:ind w:left="146"/>
              <w:rPr>
                <w:sz w:val="21"/>
                <w:szCs w:val="21"/>
              </w:rPr>
            </w:pPr>
            <w:r>
              <w:rPr>
                <w:spacing w:val="-1"/>
                <w:sz w:val="21"/>
                <w:szCs w:val="21"/>
              </w:rPr>
              <w:t>采规模结构</w:t>
            </w:r>
          </w:p>
        </w:tc>
        <w:tc>
          <w:tcPr>
            <w:tcW w:w="2955" w:type="dxa"/>
            <w:vAlign w:val="top"/>
          </w:tcPr>
          <w:p w14:paraId="6DCF8821">
            <w:pPr>
              <w:pStyle w:val="6"/>
              <w:spacing w:before="107" w:line="277" w:lineRule="exact"/>
              <w:ind w:left="123"/>
              <w:rPr>
                <w:sz w:val="21"/>
                <w:szCs w:val="21"/>
              </w:rPr>
            </w:pPr>
            <w:r>
              <w:rPr>
                <w:spacing w:val="-2"/>
                <w:position w:val="1"/>
                <w:sz w:val="21"/>
                <w:szCs w:val="21"/>
              </w:rPr>
              <w:t>大中型矿山比例（</w:t>
            </w:r>
            <w:r>
              <w:rPr>
                <w:rFonts w:ascii="Times New Roman" w:hAnsi="Times New Roman" w:eastAsia="Times New Roman" w:cs="Times New Roman"/>
                <w:spacing w:val="-2"/>
                <w:position w:val="1"/>
                <w:sz w:val="21"/>
                <w:szCs w:val="21"/>
              </w:rPr>
              <w:t>%</w:t>
            </w:r>
            <w:r>
              <w:rPr>
                <w:spacing w:val="-2"/>
                <w:position w:val="1"/>
                <w:sz w:val="21"/>
                <w:szCs w:val="21"/>
              </w:rPr>
              <w:t>）</w:t>
            </w:r>
          </w:p>
        </w:tc>
        <w:tc>
          <w:tcPr>
            <w:tcW w:w="1372" w:type="dxa"/>
            <w:vAlign w:val="top"/>
          </w:tcPr>
          <w:p w14:paraId="0AE3D6AE">
            <w:pPr>
              <w:spacing w:before="150" w:line="277" w:lineRule="exact"/>
              <w:ind w:left="513"/>
              <w:rPr>
                <w:rFonts w:ascii="Times New Roman" w:hAnsi="Times New Roman" w:eastAsia="Times New Roman" w:cs="Times New Roman"/>
                <w:sz w:val="21"/>
                <w:szCs w:val="21"/>
              </w:rPr>
            </w:pPr>
            <w:r>
              <w:rPr>
                <w:rFonts w:ascii="Times New Roman" w:hAnsi="Times New Roman" w:eastAsia="Times New Roman" w:cs="Times New Roman"/>
                <w:spacing w:val="-2"/>
                <w:position w:val="1"/>
                <w:sz w:val="21"/>
                <w:szCs w:val="21"/>
              </w:rPr>
              <w:t>4.17</w:t>
            </w:r>
          </w:p>
        </w:tc>
        <w:tc>
          <w:tcPr>
            <w:tcW w:w="1462" w:type="dxa"/>
            <w:vAlign w:val="top"/>
          </w:tcPr>
          <w:p w14:paraId="6BC917CE">
            <w:pPr>
              <w:spacing w:before="150" w:line="277" w:lineRule="exact"/>
              <w:ind w:left="505"/>
              <w:rPr>
                <w:rFonts w:ascii="Times New Roman" w:hAnsi="Times New Roman" w:eastAsia="Times New Roman" w:cs="Times New Roman"/>
                <w:sz w:val="21"/>
                <w:szCs w:val="21"/>
              </w:rPr>
            </w:pPr>
            <w:r>
              <w:rPr>
                <w:rFonts w:ascii="Times New Roman" w:hAnsi="Times New Roman" w:eastAsia="Times New Roman" w:cs="Times New Roman"/>
                <w:spacing w:val="-1"/>
                <w:position w:val="1"/>
                <w:sz w:val="21"/>
                <w:szCs w:val="21"/>
              </w:rPr>
              <w:t>22.22</w:t>
            </w:r>
          </w:p>
        </w:tc>
        <w:tc>
          <w:tcPr>
            <w:tcW w:w="815" w:type="dxa"/>
            <w:vMerge w:val="continue"/>
            <w:tcBorders>
              <w:top w:val="nil"/>
            </w:tcBorders>
            <w:vAlign w:val="top"/>
          </w:tcPr>
          <w:p w14:paraId="09E0CF3D">
            <w:pPr>
              <w:rPr>
                <w:rFonts w:ascii="Arial"/>
                <w:sz w:val="21"/>
              </w:rPr>
            </w:pPr>
          </w:p>
        </w:tc>
        <w:tc>
          <w:tcPr>
            <w:tcW w:w="1515" w:type="dxa"/>
            <w:vAlign w:val="top"/>
          </w:tcPr>
          <w:p w14:paraId="09C402CD">
            <w:pPr>
              <w:spacing w:before="150" w:line="277" w:lineRule="exact"/>
              <w:ind w:left="533"/>
              <w:rPr>
                <w:rFonts w:ascii="Times New Roman" w:hAnsi="Times New Roman" w:eastAsia="Times New Roman" w:cs="Times New Roman"/>
                <w:sz w:val="21"/>
                <w:szCs w:val="21"/>
              </w:rPr>
            </w:pPr>
            <w:r>
              <w:rPr>
                <w:rFonts w:ascii="Times New Roman" w:hAnsi="Times New Roman" w:eastAsia="Times New Roman" w:cs="Times New Roman"/>
                <w:spacing w:val="-2"/>
                <w:position w:val="1"/>
                <w:sz w:val="21"/>
                <w:szCs w:val="21"/>
              </w:rPr>
              <w:t>532.8</w:t>
            </w:r>
          </w:p>
        </w:tc>
      </w:tr>
      <w:tr w14:paraId="48ED1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308" w:type="dxa"/>
            <w:vMerge w:val="restart"/>
            <w:tcBorders>
              <w:bottom w:val="nil"/>
            </w:tcBorders>
            <w:vAlign w:val="top"/>
          </w:tcPr>
          <w:p w14:paraId="06E78CFD">
            <w:pPr>
              <w:pStyle w:val="6"/>
              <w:spacing w:before="164" w:line="217" w:lineRule="auto"/>
              <w:ind w:left="149"/>
              <w:rPr>
                <w:sz w:val="21"/>
                <w:szCs w:val="21"/>
              </w:rPr>
            </w:pPr>
            <w:r>
              <w:rPr>
                <w:spacing w:val="-2"/>
                <w:sz w:val="21"/>
                <w:szCs w:val="21"/>
              </w:rPr>
              <w:t>矿产资源节</w:t>
            </w:r>
          </w:p>
          <w:p w14:paraId="7E258BBE">
            <w:pPr>
              <w:pStyle w:val="6"/>
              <w:spacing w:before="11" w:line="218" w:lineRule="auto"/>
              <w:ind w:left="157"/>
              <w:rPr>
                <w:sz w:val="21"/>
                <w:szCs w:val="21"/>
              </w:rPr>
            </w:pPr>
            <w:r>
              <w:rPr>
                <w:spacing w:val="-4"/>
                <w:sz w:val="21"/>
                <w:szCs w:val="21"/>
              </w:rPr>
              <w:t>约与综合利</w:t>
            </w:r>
          </w:p>
          <w:p w14:paraId="50A9D707">
            <w:pPr>
              <w:pStyle w:val="6"/>
              <w:spacing w:before="15" w:line="220" w:lineRule="auto"/>
              <w:ind w:left="568"/>
              <w:rPr>
                <w:sz w:val="21"/>
                <w:szCs w:val="21"/>
              </w:rPr>
            </w:pPr>
            <w:r>
              <w:rPr>
                <w:sz w:val="21"/>
                <w:szCs w:val="21"/>
              </w:rPr>
              <w:t>用</w:t>
            </w:r>
          </w:p>
        </w:tc>
        <w:tc>
          <w:tcPr>
            <w:tcW w:w="2955" w:type="dxa"/>
            <w:vAlign w:val="top"/>
          </w:tcPr>
          <w:p w14:paraId="47F2ED28">
            <w:pPr>
              <w:pStyle w:val="6"/>
              <w:spacing w:line="223" w:lineRule="auto"/>
              <w:ind w:left="117"/>
              <w:rPr>
                <w:rFonts w:ascii="Times New Roman" w:hAnsi="Times New Roman" w:eastAsia="Times New Roman" w:cs="Times New Roman"/>
                <w:sz w:val="21"/>
                <w:szCs w:val="21"/>
              </w:rPr>
            </w:pPr>
            <w:r>
              <w:rPr>
                <w:spacing w:val="-1"/>
                <w:sz w:val="21"/>
                <w:szCs w:val="21"/>
              </w:rPr>
              <w:t>矿山平均开采回采率</w:t>
            </w:r>
            <w:r>
              <w:rPr>
                <w:rFonts w:ascii="Times New Roman" w:hAnsi="Times New Roman" w:eastAsia="Times New Roman" w:cs="Times New Roman"/>
                <w:spacing w:val="-1"/>
                <w:sz w:val="21"/>
                <w:szCs w:val="21"/>
              </w:rPr>
              <w:t>(%)</w:t>
            </w:r>
          </w:p>
        </w:tc>
        <w:tc>
          <w:tcPr>
            <w:tcW w:w="1372" w:type="dxa"/>
            <w:vAlign w:val="top"/>
          </w:tcPr>
          <w:p w14:paraId="4556FB5A">
            <w:pPr>
              <w:spacing w:before="21" w:line="231"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84</w:t>
            </w:r>
          </w:p>
        </w:tc>
        <w:tc>
          <w:tcPr>
            <w:tcW w:w="1462" w:type="dxa"/>
            <w:vAlign w:val="top"/>
          </w:tcPr>
          <w:p w14:paraId="12FE8B2C">
            <w:pPr>
              <w:spacing w:before="21" w:line="231" w:lineRule="auto"/>
              <w:ind w:left="5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90.5</w:t>
            </w:r>
          </w:p>
        </w:tc>
        <w:tc>
          <w:tcPr>
            <w:tcW w:w="815" w:type="dxa"/>
            <w:vMerge w:val="restart"/>
            <w:tcBorders>
              <w:bottom w:val="nil"/>
            </w:tcBorders>
            <w:vAlign w:val="top"/>
          </w:tcPr>
          <w:p w14:paraId="558A470C">
            <w:pPr>
              <w:pStyle w:val="6"/>
              <w:spacing w:before="293" w:line="232" w:lineRule="auto"/>
              <w:ind w:left="323" w:right="182" w:hanging="98"/>
              <w:rPr>
                <w:sz w:val="21"/>
                <w:szCs w:val="21"/>
              </w:rPr>
            </w:pPr>
            <w:r>
              <w:rPr>
                <w:spacing w:val="-9"/>
                <w:sz w:val="21"/>
                <w:szCs w:val="21"/>
              </w:rPr>
              <w:t>约束</w:t>
            </w:r>
            <w:r>
              <w:rPr>
                <w:sz w:val="21"/>
                <w:szCs w:val="21"/>
              </w:rPr>
              <w:t>性</w:t>
            </w:r>
          </w:p>
        </w:tc>
        <w:tc>
          <w:tcPr>
            <w:tcW w:w="1515" w:type="dxa"/>
            <w:vAlign w:val="top"/>
          </w:tcPr>
          <w:p w14:paraId="229615DA">
            <w:pPr>
              <w:spacing w:before="21" w:line="231" w:lineRule="auto"/>
              <w:ind w:left="547"/>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107.7</w:t>
            </w:r>
          </w:p>
        </w:tc>
      </w:tr>
      <w:tr w14:paraId="68635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308" w:type="dxa"/>
            <w:vMerge w:val="continue"/>
            <w:tcBorders>
              <w:top w:val="nil"/>
              <w:bottom w:val="nil"/>
            </w:tcBorders>
            <w:vAlign w:val="top"/>
          </w:tcPr>
          <w:p w14:paraId="0284ECAE">
            <w:pPr>
              <w:rPr>
                <w:rFonts w:ascii="Arial"/>
                <w:sz w:val="21"/>
              </w:rPr>
            </w:pPr>
          </w:p>
        </w:tc>
        <w:tc>
          <w:tcPr>
            <w:tcW w:w="2955" w:type="dxa"/>
            <w:vAlign w:val="top"/>
          </w:tcPr>
          <w:p w14:paraId="57F6279A">
            <w:pPr>
              <w:pStyle w:val="6"/>
              <w:spacing w:line="222" w:lineRule="auto"/>
              <w:ind w:left="123"/>
              <w:rPr>
                <w:rFonts w:ascii="Times New Roman" w:hAnsi="Times New Roman" w:eastAsia="Times New Roman" w:cs="Times New Roman"/>
                <w:sz w:val="21"/>
                <w:szCs w:val="21"/>
              </w:rPr>
            </w:pPr>
            <w:r>
              <w:rPr>
                <w:spacing w:val="-2"/>
                <w:sz w:val="21"/>
                <w:szCs w:val="21"/>
              </w:rPr>
              <w:t>主要矿产平均选矿回收率</w:t>
            </w:r>
            <w:r>
              <w:rPr>
                <w:rFonts w:ascii="Times New Roman" w:hAnsi="Times New Roman" w:eastAsia="Times New Roman" w:cs="Times New Roman"/>
                <w:spacing w:val="-2"/>
                <w:sz w:val="21"/>
                <w:szCs w:val="21"/>
              </w:rPr>
              <w:t>(%)</w:t>
            </w:r>
          </w:p>
        </w:tc>
        <w:tc>
          <w:tcPr>
            <w:tcW w:w="1372" w:type="dxa"/>
            <w:vAlign w:val="top"/>
          </w:tcPr>
          <w:p w14:paraId="327C590A">
            <w:pPr>
              <w:spacing w:before="21" w:line="230" w:lineRule="auto"/>
              <w:ind w:left="60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85</w:t>
            </w:r>
          </w:p>
        </w:tc>
        <w:tc>
          <w:tcPr>
            <w:tcW w:w="1462" w:type="dxa"/>
            <w:vAlign w:val="top"/>
          </w:tcPr>
          <w:p w14:paraId="17426FE0">
            <w:pPr>
              <w:spacing w:before="21" w:line="230" w:lineRule="auto"/>
              <w:ind w:left="50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77.14</w:t>
            </w:r>
          </w:p>
        </w:tc>
        <w:tc>
          <w:tcPr>
            <w:tcW w:w="815" w:type="dxa"/>
            <w:vMerge w:val="continue"/>
            <w:tcBorders>
              <w:top w:val="nil"/>
              <w:bottom w:val="nil"/>
            </w:tcBorders>
            <w:vAlign w:val="top"/>
          </w:tcPr>
          <w:p w14:paraId="77AEE96A">
            <w:pPr>
              <w:rPr>
                <w:rFonts w:ascii="Arial"/>
                <w:sz w:val="21"/>
              </w:rPr>
            </w:pPr>
          </w:p>
        </w:tc>
        <w:tc>
          <w:tcPr>
            <w:tcW w:w="1515" w:type="dxa"/>
            <w:vAlign w:val="top"/>
          </w:tcPr>
          <w:p w14:paraId="5991152A">
            <w:pPr>
              <w:spacing w:before="21" w:line="230"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90.8</w:t>
            </w:r>
          </w:p>
        </w:tc>
      </w:tr>
      <w:tr w14:paraId="516B4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308" w:type="dxa"/>
            <w:vMerge w:val="continue"/>
            <w:tcBorders>
              <w:top w:val="nil"/>
              <w:bottom w:val="nil"/>
            </w:tcBorders>
            <w:vAlign w:val="top"/>
          </w:tcPr>
          <w:p w14:paraId="358B21C1">
            <w:pPr>
              <w:rPr>
                <w:rFonts w:ascii="Arial"/>
                <w:sz w:val="21"/>
              </w:rPr>
            </w:pPr>
          </w:p>
        </w:tc>
        <w:tc>
          <w:tcPr>
            <w:tcW w:w="2955" w:type="dxa"/>
            <w:vAlign w:val="top"/>
          </w:tcPr>
          <w:p w14:paraId="3C9E052E">
            <w:pPr>
              <w:pStyle w:val="6"/>
              <w:spacing w:line="226" w:lineRule="auto"/>
              <w:ind w:left="117"/>
              <w:rPr>
                <w:sz w:val="21"/>
                <w:szCs w:val="21"/>
              </w:rPr>
            </w:pPr>
            <w:r>
              <w:rPr>
                <w:spacing w:val="-1"/>
                <w:sz w:val="21"/>
                <w:szCs w:val="21"/>
              </w:rPr>
              <w:t>矿产资源总回收率（</w:t>
            </w:r>
            <w:r>
              <w:rPr>
                <w:rFonts w:ascii="Times New Roman" w:hAnsi="Times New Roman" w:eastAsia="Times New Roman" w:cs="Times New Roman"/>
                <w:spacing w:val="-1"/>
                <w:sz w:val="21"/>
                <w:szCs w:val="21"/>
              </w:rPr>
              <w:t>%</w:t>
            </w:r>
            <w:r>
              <w:rPr>
                <w:spacing w:val="-1"/>
                <w:sz w:val="21"/>
                <w:szCs w:val="21"/>
              </w:rPr>
              <w:t>）</w:t>
            </w:r>
          </w:p>
        </w:tc>
        <w:tc>
          <w:tcPr>
            <w:tcW w:w="1372" w:type="dxa"/>
            <w:vAlign w:val="top"/>
          </w:tcPr>
          <w:p w14:paraId="5E7C3E3E">
            <w:pPr>
              <w:spacing w:before="21" w:line="235" w:lineRule="auto"/>
              <w:ind w:left="595"/>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76</w:t>
            </w:r>
          </w:p>
        </w:tc>
        <w:tc>
          <w:tcPr>
            <w:tcW w:w="1462" w:type="dxa"/>
            <w:vAlign w:val="top"/>
          </w:tcPr>
          <w:p w14:paraId="2119FAB0">
            <w:pPr>
              <w:spacing w:before="21" w:line="235" w:lineRule="auto"/>
              <w:ind w:left="638"/>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70</w:t>
            </w:r>
          </w:p>
        </w:tc>
        <w:tc>
          <w:tcPr>
            <w:tcW w:w="815" w:type="dxa"/>
            <w:vMerge w:val="continue"/>
            <w:tcBorders>
              <w:top w:val="nil"/>
              <w:bottom w:val="nil"/>
            </w:tcBorders>
            <w:vAlign w:val="top"/>
          </w:tcPr>
          <w:p w14:paraId="69A3636C">
            <w:pPr>
              <w:rPr>
                <w:rFonts w:ascii="Arial"/>
                <w:sz w:val="21"/>
              </w:rPr>
            </w:pPr>
          </w:p>
        </w:tc>
        <w:tc>
          <w:tcPr>
            <w:tcW w:w="1515" w:type="dxa"/>
            <w:vAlign w:val="top"/>
          </w:tcPr>
          <w:p w14:paraId="1A24FDDE">
            <w:pPr>
              <w:spacing w:before="21" w:line="235" w:lineRule="auto"/>
              <w:ind w:left="58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92.1</w:t>
            </w:r>
          </w:p>
        </w:tc>
      </w:tr>
      <w:tr w14:paraId="4728F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308" w:type="dxa"/>
            <w:vMerge w:val="continue"/>
            <w:tcBorders>
              <w:top w:val="nil"/>
            </w:tcBorders>
            <w:vAlign w:val="top"/>
          </w:tcPr>
          <w:p w14:paraId="241D9203">
            <w:pPr>
              <w:rPr>
                <w:rFonts w:ascii="Arial"/>
                <w:sz w:val="21"/>
              </w:rPr>
            </w:pPr>
          </w:p>
        </w:tc>
        <w:tc>
          <w:tcPr>
            <w:tcW w:w="2955" w:type="dxa"/>
            <w:vAlign w:val="top"/>
          </w:tcPr>
          <w:p w14:paraId="0CABE75C">
            <w:pPr>
              <w:pStyle w:val="6"/>
              <w:spacing w:line="278" w:lineRule="exact"/>
              <w:ind w:left="117"/>
              <w:rPr>
                <w:sz w:val="21"/>
                <w:szCs w:val="21"/>
              </w:rPr>
            </w:pPr>
            <w:r>
              <w:rPr>
                <w:spacing w:val="-1"/>
                <w:position w:val="1"/>
                <w:sz w:val="21"/>
                <w:szCs w:val="21"/>
              </w:rPr>
              <w:t>共伴生矿产综合利用率（</w:t>
            </w:r>
            <w:r>
              <w:rPr>
                <w:rFonts w:ascii="Times New Roman" w:hAnsi="Times New Roman" w:eastAsia="Times New Roman" w:cs="Times New Roman"/>
                <w:spacing w:val="-1"/>
                <w:position w:val="1"/>
                <w:sz w:val="21"/>
                <w:szCs w:val="21"/>
              </w:rPr>
              <w:t>%</w:t>
            </w:r>
            <w:r>
              <w:rPr>
                <w:spacing w:val="-1"/>
                <w:position w:val="1"/>
                <w:sz w:val="21"/>
                <w:szCs w:val="21"/>
              </w:rPr>
              <w:t>）</w:t>
            </w:r>
          </w:p>
        </w:tc>
        <w:tc>
          <w:tcPr>
            <w:tcW w:w="1372" w:type="dxa"/>
            <w:vAlign w:val="top"/>
          </w:tcPr>
          <w:p w14:paraId="21D8536F">
            <w:pPr>
              <w:spacing w:before="17" w:line="261" w:lineRule="exact"/>
              <w:ind w:left="597"/>
              <w:rPr>
                <w:rFonts w:ascii="Times New Roman" w:hAnsi="Times New Roman" w:eastAsia="Times New Roman" w:cs="Times New Roman"/>
                <w:sz w:val="21"/>
                <w:szCs w:val="21"/>
              </w:rPr>
            </w:pPr>
            <w:r>
              <w:rPr>
                <w:rFonts w:ascii="Times New Roman" w:hAnsi="Times New Roman" w:eastAsia="Times New Roman" w:cs="Times New Roman"/>
                <w:spacing w:val="-5"/>
                <w:position w:val="1"/>
                <w:sz w:val="21"/>
                <w:szCs w:val="21"/>
              </w:rPr>
              <w:t>50</w:t>
            </w:r>
          </w:p>
        </w:tc>
        <w:tc>
          <w:tcPr>
            <w:tcW w:w="1462" w:type="dxa"/>
            <w:vAlign w:val="top"/>
          </w:tcPr>
          <w:p w14:paraId="640A3CE8">
            <w:pPr>
              <w:spacing w:before="17" w:line="261" w:lineRule="exact"/>
              <w:ind w:left="510"/>
              <w:rPr>
                <w:rFonts w:ascii="Times New Roman" w:hAnsi="Times New Roman" w:eastAsia="Times New Roman" w:cs="Times New Roman"/>
                <w:sz w:val="21"/>
                <w:szCs w:val="21"/>
              </w:rPr>
            </w:pPr>
            <w:r>
              <w:rPr>
                <w:rFonts w:ascii="Times New Roman" w:hAnsi="Times New Roman" w:eastAsia="Times New Roman" w:cs="Times New Roman"/>
                <w:spacing w:val="-2"/>
                <w:position w:val="1"/>
                <w:sz w:val="21"/>
                <w:szCs w:val="21"/>
              </w:rPr>
              <w:t>39.17</w:t>
            </w:r>
          </w:p>
        </w:tc>
        <w:tc>
          <w:tcPr>
            <w:tcW w:w="815" w:type="dxa"/>
            <w:vMerge w:val="continue"/>
            <w:tcBorders>
              <w:top w:val="nil"/>
            </w:tcBorders>
            <w:vAlign w:val="top"/>
          </w:tcPr>
          <w:p w14:paraId="4C1019BA">
            <w:pPr>
              <w:rPr>
                <w:rFonts w:ascii="Arial"/>
                <w:sz w:val="21"/>
              </w:rPr>
            </w:pPr>
          </w:p>
        </w:tc>
        <w:tc>
          <w:tcPr>
            <w:tcW w:w="1515" w:type="dxa"/>
            <w:vAlign w:val="top"/>
          </w:tcPr>
          <w:p w14:paraId="5FE17AF3">
            <w:pPr>
              <w:spacing w:before="17" w:line="261" w:lineRule="exact"/>
              <w:ind w:left="583"/>
              <w:rPr>
                <w:rFonts w:ascii="Times New Roman" w:hAnsi="Times New Roman" w:eastAsia="Times New Roman" w:cs="Times New Roman"/>
                <w:sz w:val="21"/>
                <w:szCs w:val="21"/>
              </w:rPr>
            </w:pPr>
            <w:r>
              <w:rPr>
                <w:rFonts w:ascii="Times New Roman" w:hAnsi="Times New Roman" w:eastAsia="Times New Roman" w:cs="Times New Roman"/>
                <w:spacing w:val="-2"/>
                <w:position w:val="1"/>
                <w:sz w:val="21"/>
                <w:szCs w:val="21"/>
              </w:rPr>
              <w:t>78.3</w:t>
            </w:r>
          </w:p>
        </w:tc>
      </w:tr>
    </w:tbl>
    <w:p w14:paraId="57FDEFED">
      <w:pPr>
        <w:spacing w:before="71" w:line="218" w:lineRule="auto"/>
        <w:ind w:left="1005"/>
        <w:rPr>
          <w:rFonts w:ascii="仿宋" w:hAnsi="仿宋" w:eastAsia="仿宋" w:cs="仿宋"/>
          <w:sz w:val="21"/>
          <w:szCs w:val="21"/>
        </w:rPr>
      </w:pPr>
      <w:r>
        <w:rPr>
          <w:rFonts w:ascii="仿宋" w:hAnsi="仿宋" w:eastAsia="仿宋" w:cs="仿宋"/>
          <w:spacing w:val="-2"/>
          <w:sz w:val="21"/>
          <w:szCs w:val="21"/>
        </w:rPr>
        <w:t>注：数据为</w:t>
      </w:r>
      <w:r>
        <w:rPr>
          <w:rFonts w:ascii="仿宋" w:hAnsi="仿宋" w:eastAsia="仿宋" w:cs="仿宋"/>
          <w:spacing w:val="-38"/>
          <w:sz w:val="21"/>
          <w:szCs w:val="21"/>
        </w:rPr>
        <w:t xml:space="preserve"> </w:t>
      </w:r>
      <w:r>
        <w:rPr>
          <w:rFonts w:ascii="仿宋" w:hAnsi="仿宋" w:eastAsia="仿宋" w:cs="仿宋"/>
          <w:spacing w:val="-2"/>
          <w:sz w:val="21"/>
          <w:szCs w:val="21"/>
        </w:rPr>
        <w:t>2020</w:t>
      </w:r>
      <w:r>
        <w:rPr>
          <w:rFonts w:ascii="仿宋" w:hAnsi="仿宋" w:eastAsia="仿宋" w:cs="仿宋"/>
          <w:spacing w:val="-41"/>
          <w:sz w:val="21"/>
          <w:szCs w:val="21"/>
        </w:rPr>
        <w:t xml:space="preserve"> </w:t>
      </w:r>
      <w:r>
        <w:rPr>
          <w:rFonts w:ascii="仿宋" w:hAnsi="仿宋" w:eastAsia="仿宋" w:cs="仿宋"/>
          <w:spacing w:val="-2"/>
          <w:sz w:val="21"/>
          <w:szCs w:val="21"/>
        </w:rPr>
        <w:t>年储量统计和开发利用统计</w:t>
      </w:r>
    </w:p>
    <w:p w14:paraId="6BB695A3">
      <w:pPr>
        <w:pStyle w:val="2"/>
        <w:spacing w:line="365" w:lineRule="auto"/>
      </w:pPr>
    </w:p>
    <w:p w14:paraId="4ED94A57">
      <w:pPr>
        <w:pStyle w:val="2"/>
        <w:spacing w:before="133" w:line="322" w:lineRule="auto"/>
        <w:ind w:left="587" w:right="594" w:firstLine="640"/>
        <w:rPr>
          <w:rFonts w:ascii="仿宋" w:hAnsi="仿宋" w:eastAsia="仿宋" w:cs="仿宋"/>
          <w:sz w:val="31"/>
          <w:szCs w:val="31"/>
        </w:rPr>
      </w:pPr>
      <w:r>
        <w:rPr>
          <w:rFonts w:ascii="微软雅黑" w:hAnsi="微软雅黑" w:eastAsia="微软雅黑" w:cs="微软雅黑"/>
          <w:spacing w:val="6"/>
          <w:sz w:val="31"/>
          <w:szCs w:val="31"/>
        </w:rPr>
        <w:t>露天矿山综合整治工作成果显现</w:t>
      </w:r>
      <w:r>
        <w:rPr>
          <w:spacing w:val="6"/>
          <w:sz w:val="31"/>
          <w:szCs w:val="31"/>
        </w:rPr>
        <w:t>.</w:t>
      </w:r>
      <w:r>
        <w:rPr>
          <w:spacing w:val="38"/>
          <w:sz w:val="31"/>
          <w:szCs w:val="31"/>
        </w:rPr>
        <w:t xml:space="preserve">  </w:t>
      </w:r>
      <w:r>
        <w:rPr>
          <w:rFonts w:ascii="仿宋" w:hAnsi="仿宋" w:eastAsia="仿宋" w:cs="仿宋"/>
          <w:spacing w:val="6"/>
          <w:sz w:val="31"/>
          <w:szCs w:val="31"/>
        </w:rPr>
        <w:t>上一轮《规划》实施期间，通过自然修复和人工治理，矿山治理取得明显</w:t>
      </w:r>
      <w:r>
        <w:rPr>
          <w:rFonts w:ascii="仿宋" w:hAnsi="仿宋" w:eastAsia="仿宋" w:cs="仿宋"/>
          <w:spacing w:val="5"/>
          <w:sz w:val="31"/>
          <w:szCs w:val="31"/>
        </w:rPr>
        <w:t>进展，</w:t>
      </w:r>
    </w:p>
    <w:p w14:paraId="520B9204">
      <w:pPr>
        <w:spacing w:line="322" w:lineRule="auto"/>
        <w:rPr>
          <w:rFonts w:ascii="仿宋" w:hAnsi="仿宋" w:eastAsia="仿宋" w:cs="仿宋"/>
          <w:sz w:val="31"/>
          <w:szCs w:val="31"/>
        </w:rPr>
        <w:sectPr>
          <w:footerReference r:id="rId12" w:type="default"/>
          <w:pgSz w:w="11904" w:h="16835"/>
          <w:pgMar w:top="1430" w:right="1241" w:bottom="1289" w:left="1229" w:header="0" w:footer="923" w:gutter="0"/>
          <w:cols w:space="720" w:num="1"/>
        </w:sectPr>
      </w:pPr>
    </w:p>
    <w:p w14:paraId="13324392">
      <w:pPr>
        <w:spacing w:before="136" w:line="219" w:lineRule="auto"/>
        <w:ind w:left="31"/>
        <w:rPr>
          <w:rFonts w:ascii="仿宋" w:hAnsi="仿宋" w:eastAsia="仿宋" w:cs="仿宋"/>
          <w:sz w:val="31"/>
          <w:szCs w:val="31"/>
        </w:rPr>
      </w:pPr>
      <w:r>
        <w:rPr>
          <w:rFonts w:ascii="仿宋" w:hAnsi="仿宋" w:eastAsia="仿宋" w:cs="仿宋"/>
          <w:spacing w:val="9"/>
          <w:sz w:val="31"/>
          <w:szCs w:val="31"/>
        </w:rPr>
        <w:t>新建矿山严格按照土地复垦与环境治理恢复方案进行治理</w:t>
      </w:r>
    </w:p>
    <w:p w14:paraId="38BA1183">
      <w:pPr>
        <w:spacing w:before="252" w:line="372" w:lineRule="auto"/>
        <w:ind w:left="26" w:right="16" w:firstLine="7"/>
        <w:rPr>
          <w:rFonts w:ascii="仿宋" w:hAnsi="仿宋" w:eastAsia="仿宋" w:cs="仿宋"/>
          <w:sz w:val="31"/>
          <w:szCs w:val="31"/>
        </w:rPr>
      </w:pPr>
      <w:r>
        <w:rPr>
          <w:rFonts w:ascii="仿宋" w:hAnsi="仿宋" w:eastAsia="仿宋" w:cs="仿宋"/>
          <w:spacing w:val="5"/>
          <w:sz w:val="31"/>
          <w:szCs w:val="31"/>
        </w:rPr>
        <w:t>恢复，生产矿山按照</w:t>
      </w:r>
      <w:r>
        <w:rPr>
          <w:rFonts w:ascii="仿宋" w:hAnsi="仿宋" w:eastAsia="仿宋" w:cs="仿宋"/>
          <w:spacing w:val="-104"/>
          <w:sz w:val="31"/>
          <w:szCs w:val="31"/>
        </w:rPr>
        <w:t xml:space="preserve"> </w:t>
      </w:r>
      <w:r>
        <w:rPr>
          <w:rFonts w:ascii="仿宋" w:hAnsi="仿宋" w:eastAsia="仿宋" w:cs="仿宋"/>
          <w:spacing w:val="5"/>
          <w:sz w:val="31"/>
          <w:szCs w:val="31"/>
        </w:rPr>
        <w:t>“边生产，边治理，边恢复”</w:t>
      </w:r>
      <w:r>
        <w:rPr>
          <w:rFonts w:ascii="仿宋" w:hAnsi="仿宋" w:eastAsia="仿宋" w:cs="仿宋"/>
          <w:spacing w:val="-115"/>
          <w:sz w:val="31"/>
          <w:szCs w:val="31"/>
        </w:rPr>
        <w:t xml:space="preserve"> </w:t>
      </w:r>
      <w:r>
        <w:rPr>
          <w:rFonts w:ascii="仿宋" w:hAnsi="仿宋" w:eastAsia="仿宋" w:cs="仿宋"/>
          <w:spacing w:val="5"/>
          <w:sz w:val="31"/>
          <w:szCs w:val="31"/>
        </w:rPr>
        <w:t>的原则进</w:t>
      </w:r>
      <w:r>
        <w:rPr>
          <w:rFonts w:ascii="仿宋" w:hAnsi="仿宋" w:eastAsia="仿宋" w:cs="仿宋"/>
          <w:spacing w:val="9"/>
          <w:sz w:val="31"/>
          <w:szCs w:val="31"/>
        </w:rPr>
        <w:t>行治理恢复。上一轮《规划》实施以来，重点</w:t>
      </w:r>
      <w:r>
        <w:rPr>
          <w:rFonts w:ascii="仿宋" w:hAnsi="仿宋" w:eastAsia="仿宋" w:cs="仿宋"/>
          <w:spacing w:val="8"/>
          <w:sz w:val="31"/>
          <w:szCs w:val="31"/>
        </w:rPr>
        <w:t>对沿岷江、大</w:t>
      </w:r>
      <w:r>
        <w:rPr>
          <w:rFonts w:ascii="仿宋" w:hAnsi="仿宋" w:eastAsia="仿宋" w:cs="仿宋"/>
          <w:spacing w:val="9"/>
          <w:sz w:val="31"/>
          <w:szCs w:val="31"/>
        </w:rPr>
        <w:t>渡河、黄河上游等重要水系历史遗留矿山治理</w:t>
      </w:r>
      <w:r>
        <w:rPr>
          <w:rFonts w:ascii="仿宋" w:hAnsi="仿宋" w:eastAsia="仿宋" w:cs="仿宋"/>
          <w:spacing w:val="8"/>
          <w:sz w:val="31"/>
          <w:szCs w:val="31"/>
        </w:rPr>
        <w:t>恢复，累计实</w:t>
      </w:r>
      <w:r>
        <w:rPr>
          <w:rFonts w:ascii="仿宋" w:hAnsi="仿宋" w:eastAsia="仿宋" w:cs="仿宋"/>
          <w:spacing w:val="9"/>
          <w:sz w:val="31"/>
          <w:szCs w:val="31"/>
        </w:rPr>
        <w:t>施面积</w:t>
      </w:r>
      <w:r>
        <w:rPr>
          <w:rFonts w:ascii="仿宋" w:hAnsi="仿宋" w:eastAsia="仿宋" w:cs="仿宋"/>
          <w:spacing w:val="-33"/>
          <w:sz w:val="31"/>
          <w:szCs w:val="31"/>
        </w:rPr>
        <w:t xml:space="preserve"> </w:t>
      </w:r>
      <w:r>
        <w:rPr>
          <w:rFonts w:ascii="仿宋" w:hAnsi="仿宋" w:eastAsia="仿宋" w:cs="仿宋"/>
          <w:spacing w:val="9"/>
          <w:sz w:val="31"/>
          <w:szCs w:val="31"/>
        </w:rPr>
        <w:t>475公顷（矿山地质环境治理恢复面积 350 公顷，</w:t>
      </w:r>
    </w:p>
    <w:p w14:paraId="6275FFC3">
      <w:pPr>
        <w:spacing w:line="221" w:lineRule="auto"/>
        <w:ind w:left="26"/>
        <w:rPr>
          <w:rFonts w:ascii="仿宋" w:hAnsi="仿宋" w:eastAsia="仿宋" w:cs="仿宋"/>
          <w:sz w:val="31"/>
          <w:szCs w:val="31"/>
        </w:rPr>
      </w:pPr>
      <w:r>
        <w:rPr>
          <w:rFonts w:ascii="仿宋" w:hAnsi="仿宋" w:eastAsia="仿宋" w:cs="仿宋"/>
          <w:spacing w:val="8"/>
          <w:sz w:val="31"/>
          <w:szCs w:val="31"/>
        </w:rPr>
        <w:t>历史遗留废弃矿山土地复垦面积 125 公顷）。长江黄河重</w:t>
      </w:r>
    </w:p>
    <w:p w14:paraId="742BE52C">
      <w:pPr>
        <w:spacing w:before="252" w:line="220" w:lineRule="auto"/>
        <w:ind w:left="36"/>
        <w:outlineLvl w:val="1"/>
        <w:rPr>
          <w:rFonts w:ascii="仿宋" w:hAnsi="仿宋" w:eastAsia="仿宋" w:cs="仿宋"/>
          <w:sz w:val="31"/>
          <w:szCs w:val="31"/>
        </w:rPr>
      </w:pPr>
      <w:r>
        <w:rPr>
          <w:rFonts w:ascii="仿宋" w:hAnsi="仿宋" w:eastAsia="仿宋" w:cs="仿宋"/>
          <w:spacing w:val="7"/>
          <w:sz w:val="31"/>
          <w:szCs w:val="31"/>
        </w:rPr>
        <w:t>要水系生态环境保护效果明显。</w:t>
      </w:r>
    </w:p>
    <w:p w14:paraId="778EA8FC">
      <w:pPr>
        <w:spacing w:before="232" w:line="362" w:lineRule="auto"/>
        <w:ind w:left="17" w:right="16" w:firstLine="650"/>
        <w:rPr>
          <w:rFonts w:ascii="仿宋" w:hAnsi="仿宋" w:eastAsia="仿宋" w:cs="仿宋"/>
          <w:sz w:val="31"/>
          <w:szCs w:val="31"/>
        </w:rPr>
      </w:pPr>
      <w:r>
        <w:rPr>
          <w:rFonts w:ascii="微软雅黑" w:hAnsi="微软雅黑" w:eastAsia="微软雅黑" w:cs="微软雅黑"/>
          <w:spacing w:val="7"/>
          <w:sz w:val="31"/>
          <w:szCs w:val="31"/>
        </w:rPr>
        <w:t>矿产资源管理制度日益健全.</w:t>
      </w:r>
      <w:r>
        <w:rPr>
          <w:rFonts w:ascii="微软雅黑" w:hAnsi="微软雅黑" w:eastAsia="微软雅黑" w:cs="微软雅黑"/>
          <w:spacing w:val="45"/>
          <w:sz w:val="31"/>
          <w:szCs w:val="31"/>
        </w:rPr>
        <w:t xml:space="preserve">  </w:t>
      </w:r>
      <w:r>
        <w:rPr>
          <w:rFonts w:ascii="仿宋" w:hAnsi="仿宋" w:eastAsia="仿宋" w:cs="仿宋"/>
          <w:spacing w:val="7"/>
          <w:position w:val="6"/>
          <w:sz w:val="31"/>
          <w:szCs w:val="31"/>
        </w:rPr>
        <w:t>“</w:t>
      </w:r>
      <w:r>
        <w:rPr>
          <w:rFonts w:ascii="仿宋" w:hAnsi="仿宋" w:eastAsia="仿宋" w:cs="仿宋"/>
          <w:spacing w:val="7"/>
          <w:sz w:val="31"/>
          <w:szCs w:val="31"/>
        </w:rPr>
        <w:t>十三五</w:t>
      </w:r>
      <w:r>
        <w:rPr>
          <w:rFonts w:ascii="仿宋" w:hAnsi="仿宋" w:eastAsia="仿宋" w:cs="仿宋"/>
          <w:spacing w:val="7"/>
          <w:position w:val="6"/>
          <w:sz w:val="31"/>
          <w:szCs w:val="31"/>
        </w:rPr>
        <w:t>”</w:t>
      </w:r>
      <w:r>
        <w:rPr>
          <w:rFonts w:ascii="仿宋" w:hAnsi="仿宋" w:eastAsia="仿宋" w:cs="仿宋"/>
          <w:spacing w:val="7"/>
          <w:sz w:val="31"/>
          <w:szCs w:val="31"/>
        </w:rPr>
        <w:t>期间</w:t>
      </w:r>
      <w:r>
        <w:rPr>
          <w:rFonts w:ascii="仿宋" w:hAnsi="仿宋" w:eastAsia="仿宋" w:cs="仿宋"/>
          <w:spacing w:val="7"/>
          <w:position w:val="-9"/>
          <w:sz w:val="31"/>
          <w:szCs w:val="31"/>
        </w:rPr>
        <w:t>，</w:t>
      </w:r>
      <w:r>
        <w:rPr>
          <w:rFonts w:ascii="仿宋" w:hAnsi="仿宋" w:eastAsia="仿宋" w:cs="仿宋"/>
          <w:spacing w:val="7"/>
          <w:sz w:val="31"/>
          <w:szCs w:val="31"/>
        </w:rPr>
        <w:t>落实省</w:t>
      </w:r>
      <w:r>
        <w:rPr>
          <w:rFonts w:ascii="仿宋" w:hAnsi="仿宋" w:eastAsia="仿宋" w:cs="仿宋"/>
          <w:spacing w:val="9"/>
          <w:sz w:val="31"/>
          <w:szCs w:val="31"/>
        </w:rPr>
        <w:t>矿业权审批制度改革措施，矿业权人勘查开采信息公示制度全面实施，全面督促完成填报矿业权勘查开采信息公示系统以及采矿权开发利用和储量年报统计工作。积极为重点项目做好服务，完成了久马高速、俄日河流域梯级电</w:t>
      </w:r>
      <w:r>
        <w:rPr>
          <w:rFonts w:ascii="仿宋" w:hAnsi="仿宋" w:eastAsia="仿宋" w:cs="仿宋"/>
          <w:spacing w:val="8"/>
          <w:sz w:val="31"/>
          <w:szCs w:val="31"/>
        </w:rPr>
        <w:t>站等14个重</w:t>
      </w:r>
      <w:r>
        <w:rPr>
          <w:rFonts w:ascii="仿宋" w:hAnsi="仿宋" w:eastAsia="仿宋" w:cs="仿宋"/>
          <w:spacing w:val="9"/>
          <w:sz w:val="31"/>
          <w:szCs w:val="31"/>
        </w:rPr>
        <w:t>要项目影响区矿产资源压覆情况核实上报。全面落实四川省自然资源厅印发《关于启动四川省矿业权远程直报系统试运</w:t>
      </w:r>
      <w:r>
        <w:rPr>
          <w:rFonts w:ascii="仿宋" w:hAnsi="仿宋" w:eastAsia="仿宋" w:cs="仿宋"/>
          <w:spacing w:val="8"/>
          <w:sz w:val="31"/>
          <w:szCs w:val="31"/>
        </w:rPr>
        <w:t>行的通知》（〔2020〕-385）文件精神，实现矿业权</w:t>
      </w:r>
      <w:r>
        <w:rPr>
          <w:rFonts w:ascii="仿宋" w:hAnsi="仿宋" w:eastAsia="仿宋" w:cs="仿宋"/>
          <w:spacing w:val="7"/>
          <w:sz w:val="31"/>
          <w:szCs w:val="31"/>
        </w:rPr>
        <w:t>新设、</w:t>
      </w:r>
      <w:r>
        <w:rPr>
          <w:rFonts w:ascii="仿宋" w:hAnsi="仿宋" w:eastAsia="仿宋" w:cs="仿宋"/>
          <w:spacing w:val="9"/>
          <w:sz w:val="31"/>
          <w:szCs w:val="31"/>
        </w:rPr>
        <w:t>转让、延续、变更等相关业务联网审批。积极贯彻《自然资</w:t>
      </w:r>
      <w:r>
        <w:rPr>
          <w:rFonts w:ascii="仿宋" w:hAnsi="仿宋" w:eastAsia="仿宋" w:cs="仿宋"/>
          <w:spacing w:val="21"/>
          <w:sz w:val="31"/>
          <w:szCs w:val="31"/>
        </w:rPr>
        <w:t>源部关于推进矿产资源管理改革若干事项的意见(试行</w:t>
      </w:r>
      <w:r>
        <w:rPr>
          <w:rFonts w:ascii="仿宋" w:hAnsi="仿宋" w:eastAsia="仿宋" w:cs="仿宋"/>
          <w:spacing w:val="20"/>
          <w:sz w:val="31"/>
          <w:szCs w:val="31"/>
        </w:rPr>
        <w:t>)》</w:t>
      </w:r>
      <w:r>
        <w:rPr>
          <w:rFonts w:ascii="仿宋" w:hAnsi="仿宋" w:eastAsia="仿宋" w:cs="仿宋"/>
          <w:sz w:val="31"/>
          <w:szCs w:val="31"/>
        </w:rPr>
        <w:t xml:space="preserve"> </w:t>
      </w:r>
      <w:r>
        <w:rPr>
          <w:rFonts w:ascii="仿宋" w:hAnsi="仿宋" w:eastAsia="仿宋" w:cs="仿宋"/>
          <w:spacing w:val="6"/>
          <w:sz w:val="31"/>
          <w:szCs w:val="31"/>
        </w:rPr>
        <w:t>（</w:t>
      </w:r>
      <w:r>
        <w:rPr>
          <w:rFonts w:ascii="仿宋" w:hAnsi="仿宋" w:eastAsia="仿宋" w:cs="仿宋"/>
          <w:spacing w:val="-27"/>
          <w:sz w:val="31"/>
          <w:szCs w:val="31"/>
        </w:rPr>
        <w:t xml:space="preserve"> </w:t>
      </w:r>
      <w:r>
        <w:rPr>
          <w:rFonts w:ascii="仿宋" w:hAnsi="仿宋" w:eastAsia="仿宋" w:cs="仿宋"/>
          <w:spacing w:val="6"/>
          <w:sz w:val="31"/>
          <w:szCs w:val="31"/>
        </w:rPr>
        <w:t>自然资规〔2019〕7号</w:t>
      </w:r>
      <w:r>
        <w:rPr>
          <w:rFonts w:ascii="仿宋" w:hAnsi="仿宋" w:eastAsia="仿宋" w:cs="仿宋"/>
          <w:spacing w:val="-59"/>
          <w:sz w:val="31"/>
          <w:szCs w:val="31"/>
        </w:rPr>
        <w:t xml:space="preserve"> </w:t>
      </w:r>
      <w:r>
        <w:rPr>
          <w:rFonts w:ascii="仿宋" w:hAnsi="仿宋" w:eastAsia="仿宋" w:cs="仿宋"/>
          <w:spacing w:val="6"/>
          <w:sz w:val="31"/>
          <w:szCs w:val="31"/>
        </w:rPr>
        <w:t>）文件精神，完成矿产资源储量统</w:t>
      </w:r>
      <w:r>
        <w:rPr>
          <w:rFonts w:ascii="仿宋" w:hAnsi="仿宋" w:eastAsia="仿宋" w:cs="仿宋"/>
          <w:spacing w:val="9"/>
          <w:sz w:val="31"/>
          <w:szCs w:val="31"/>
        </w:rPr>
        <w:t>计库储量分类更新，完成矿业权同级登记管理部省市县数据</w:t>
      </w:r>
      <w:bookmarkStart w:id="6" w:name="bookmark6"/>
      <w:bookmarkEnd w:id="6"/>
      <w:r>
        <w:rPr>
          <w:rFonts w:ascii="仿宋" w:hAnsi="仿宋" w:eastAsia="仿宋" w:cs="仿宋"/>
          <w:spacing w:val="9"/>
          <w:sz w:val="31"/>
          <w:szCs w:val="31"/>
        </w:rPr>
        <w:t>交换更新，全面推进矿业权竞争性出让。</w:t>
      </w:r>
    </w:p>
    <w:p w14:paraId="74600A67">
      <w:pPr>
        <w:spacing w:line="362" w:lineRule="auto"/>
        <w:rPr>
          <w:rFonts w:ascii="仿宋" w:hAnsi="仿宋" w:eastAsia="仿宋" w:cs="仿宋"/>
          <w:sz w:val="31"/>
          <w:szCs w:val="31"/>
        </w:rPr>
        <w:sectPr>
          <w:footerReference r:id="rId13" w:type="default"/>
          <w:pgSz w:w="11904" w:h="16835"/>
          <w:pgMar w:top="1430" w:right="1785" w:bottom="1289" w:left="1785" w:header="0" w:footer="923" w:gutter="0"/>
          <w:cols w:space="720" w:num="1"/>
        </w:sectPr>
      </w:pPr>
    </w:p>
    <w:p w14:paraId="3CF3B10C">
      <w:pPr>
        <w:spacing w:before="124" w:line="324" w:lineRule="exact"/>
        <w:ind w:left="3080"/>
        <w:outlineLvl w:val="1"/>
        <w:rPr>
          <w:rFonts w:ascii="微软雅黑" w:hAnsi="微软雅黑" w:eastAsia="微软雅黑" w:cs="微软雅黑"/>
          <w:sz w:val="31"/>
          <w:szCs w:val="31"/>
        </w:rPr>
      </w:pPr>
      <w:r>
        <w:rPr>
          <w:rFonts w:ascii="微软雅黑" w:hAnsi="微软雅黑" w:eastAsia="微软雅黑" w:cs="微软雅黑"/>
          <w:spacing w:val="-2"/>
          <w:position w:val="-1"/>
          <w:sz w:val="31"/>
          <w:szCs w:val="31"/>
        </w:rPr>
        <w:t>第四节    问题与形势</w:t>
      </w:r>
    </w:p>
    <w:p w14:paraId="162E889C">
      <w:pPr>
        <w:pStyle w:val="2"/>
        <w:spacing w:line="479" w:lineRule="auto"/>
      </w:pPr>
    </w:p>
    <w:p w14:paraId="3B18CA1B">
      <w:pPr>
        <w:spacing w:before="133" w:line="317" w:lineRule="exact"/>
        <w:ind w:left="672"/>
        <w:rPr>
          <w:rFonts w:ascii="微软雅黑" w:hAnsi="微软雅黑" w:eastAsia="微软雅黑" w:cs="微软雅黑"/>
          <w:sz w:val="31"/>
          <w:szCs w:val="31"/>
        </w:rPr>
      </w:pPr>
      <w:r>
        <w:rPr>
          <w:rFonts w:ascii="微软雅黑" w:hAnsi="微软雅黑" w:eastAsia="微软雅黑" w:cs="微软雅黑"/>
          <w:spacing w:val="-5"/>
          <w:position w:val="-1"/>
          <w:sz w:val="31"/>
          <w:szCs w:val="31"/>
        </w:rPr>
        <w:t>一</w:t>
      </w:r>
      <w:r>
        <w:rPr>
          <w:rFonts w:ascii="微软雅黑" w:hAnsi="微软雅黑" w:eastAsia="微软雅黑" w:cs="微软雅黑"/>
          <w:spacing w:val="-39"/>
          <w:position w:val="-1"/>
          <w:sz w:val="31"/>
          <w:szCs w:val="31"/>
        </w:rPr>
        <w:t xml:space="preserve"> </w:t>
      </w:r>
      <w:r>
        <w:rPr>
          <w:rFonts w:ascii="微软雅黑" w:hAnsi="微软雅黑" w:eastAsia="微软雅黑" w:cs="微软雅黑"/>
          <w:spacing w:val="-5"/>
          <w:position w:val="-1"/>
          <w:sz w:val="31"/>
          <w:szCs w:val="31"/>
        </w:rPr>
        <w:t>、面临问题</w:t>
      </w:r>
    </w:p>
    <w:p w14:paraId="3EFDE883">
      <w:pPr>
        <w:pStyle w:val="2"/>
        <w:spacing w:before="209" w:line="352" w:lineRule="auto"/>
        <w:ind w:left="17" w:right="42" w:firstLine="657"/>
        <w:jc w:val="both"/>
        <w:rPr>
          <w:rFonts w:ascii="仿宋" w:hAnsi="仿宋" w:eastAsia="仿宋" w:cs="仿宋"/>
          <w:sz w:val="31"/>
          <w:szCs w:val="31"/>
        </w:rPr>
      </w:pPr>
      <w:r>
        <w:rPr>
          <w:rFonts w:ascii="微软雅黑" w:hAnsi="微软雅黑" w:eastAsia="微软雅黑" w:cs="微软雅黑"/>
          <w:spacing w:val="4"/>
          <w:sz w:val="31"/>
          <w:szCs w:val="31"/>
        </w:rPr>
        <w:t>绿色低碳开发利用矿产资源仍需努力</w:t>
      </w:r>
      <w:r>
        <w:rPr>
          <w:rFonts w:ascii="微软雅黑" w:hAnsi="微软雅黑" w:eastAsia="微软雅黑" w:cs="微软雅黑"/>
          <w:spacing w:val="-19"/>
          <w:sz w:val="31"/>
          <w:szCs w:val="31"/>
        </w:rPr>
        <w:t xml:space="preserve"> </w:t>
      </w:r>
      <w:r>
        <w:rPr>
          <w:spacing w:val="4"/>
          <w:sz w:val="31"/>
          <w:szCs w:val="31"/>
        </w:rPr>
        <w:t>.</w:t>
      </w:r>
      <w:r>
        <w:rPr>
          <w:spacing w:val="41"/>
          <w:sz w:val="31"/>
          <w:szCs w:val="31"/>
        </w:rPr>
        <w:t xml:space="preserve">  </w:t>
      </w:r>
      <w:r>
        <w:rPr>
          <w:rFonts w:ascii="仿宋" w:hAnsi="仿宋" w:eastAsia="仿宋" w:cs="仿宋"/>
          <w:spacing w:val="4"/>
          <w:sz w:val="31"/>
          <w:szCs w:val="31"/>
        </w:rPr>
        <w:t>阿坝州生态保护</w:t>
      </w:r>
      <w:r>
        <w:rPr>
          <w:rFonts w:ascii="仿宋" w:hAnsi="仿宋" w:eastAsia="仿宋" w:cs="仿宋"/>
          <w:spacing w:val="6"/>
          <w:sz w:val="31"/>
          <w:szCs w:val="31"/>
        </w:rPr>
        <w:t>红线内退出矿业权共有</w:t>
      </w:r>
      <w:r>
        <w:rPr>
          <w:rFonts w:ascii="仿宋" w:hAnsi="仿宋" w:eastAsia="仿宋" w:cs="仿宋"/>
          <w:spacing w:val="-51"/>
          <w:sz w:val="31"/>
          <w:szCs w:val="31"/>
        </w:rPr>
        <w:t xml:space="preserve"> </w:t>
      </w:r>
      <w:r>
        <w:rPr>
          <w:rFonts w:ascii="Times New Roman" w:hAnsi="Times New Roman" w:eastAsia="Times New Roman" w:cs="Times New Roman"/>
          <w:spacing w:val="6"/>
          <w:sz w:val="31"/>
          <w:szCs w:val="31"/>
        </w:rPr>
        <w:t>93</w:t>
      </w:r>
      <w:r>
        <w:rPr>
          <w:rFonts w:ascii="Times New Roman" w:hAnsi="Times New Roman" w:eastAsia="Times New Roman" w:cs="Times New Roman"/>
          <w:spacing w:val="39"/>
          <w:sz w:val="31"/>
          <w:szCs w:val="31"/>
        </w:rPr>
        <w:t xml:space="preserve"> </w:t>
      </w:r>
      <w:r>
        <w:rPr>
          <w:rFonts w:ascii="仿宋" w:hAnsi="仿宋" w:eastAsia="仿宋" w:cs="仿宋"/>
          <w:spacing w:val="6"/>
          <w:sz w:val="31"/>
          <w:szCs w:val="31"/>
        </w:rPr>
        <w:t>宗，其中采矿权</w:t>
      </w:r>
      <w:r>
        <w:rPr>
          <w:rFonts w:ascii="仿宋" w:hAnsi="仿宋" w:eastAsia="仿宋" w:cs="仿宋"/>
          <w:spacing w:val="-57"/>
          <w:sz w:val="31"/>
          <w:szCs w:val="31"/>
        </w:rPr>
        <w:t xml:space="preserve"> </w:t>
      </w:r>
      <w:r>
        <w:rPr>
          <w:rFonts w:ascii="Times New Roman" w:hAnsi="Times New Roman" w:eastAsia="Times New Roman" w:cs="Times New Roman"/>
          <w:spacing w:val="6"/>
          <w:sz w:val="31"/>
          <w:szCs w:val="31"/>
        </w:rPr>
        <w:t>7</w:t>
      </w:r>
      <w:r>
        <w:rPr>
          <w:rFonts w:ascii="Times New Roman" w:hAnsi="Times New Roman" w:eastAsia="Times New Roman" w:cs="Times New Roman"/>
          <w:spacing w:val="38"/>
          <w:w w:val="101"/>
          <w:sz w:val="31"/>
          <w:szCs w:val="31"/>
        </w:rPr>
        <w:t xml:space="preserve"> </w:t>
      </w:r>
      <w:r>
        <w:rPr>
          <w:rFonts w:ascii="仿宋" w:hAnsi="仿宋" w:eastAsia="仿宋" w:cs="仿宋"/>
          <w:spacing w:val="6"/>
          <w:sz w:val="31"/>
          <w:szCs w:val="31"/>
        </w:rPr>
        <w:t>宗，探矿权</w:t>
      </w:r>
      <w:r>
        <w:rPr>
          <w:rFonts w:ascii="仿宋" w:hAnsi="仿宋" w:eastAsia="仿宋" w:cs="仿宋"/>
          <w:spacing w:val="-50"/>
          <w:sz w:val="31"/>
          <w:szCs w:val="31"/>
        </w:rPr>
        <w:t xml:space="preserve"> </w:t>
      </w:r>
      <w:r>
        <w:rPr>
          <w:rFonts w:ascii="Times New Roman" w:hAnsi="Times New Roman" w:eastAsia="Times New Roman" w:cs="Times New Roman"/>
          <w:spacing w:val="6"/>
          <w:sz w:val="31"/>
          <w:szCs w:val="31"/>
        </w:rPr>
        <w:t>86</w:t>
      </w:r>
      <w:r>
        <w:rPr>
          <w:rFonts w:ascii="仿宋" w:hAnsi="仿宋" w:eastAsia="仿宋" w:cs="仿宋"/>
          <w:spacing w:val="5"/>
          <w:sz w:val="31"/>
          <w:szCs w:val="31"/>
        </w:rPr>
        <w:t>宗。涉及大熊猫国家公园矿业权</w:t>
      </w:r>
      <w:r>
        <w:rPr>
          <w:rFonts w:ascii="仿宋" w:hAnsi="仿宋" w:eastAsia="仿宋" w:cs="仿宋"/>
          <w:spacing w:val="-61"/>
          <w:sz w:val="31"/>
          <w:szCs w:val="31"/>
        </w:rPr>
        <w:t xml:space="preserve"> </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39"/>
          <w:sz w:val="31"/>
          <w:szCs w:val="31"/>
        </w:rPr>
        <w:t xml:space="preserve"> </w:t>
      </w:r>
      <w:r>
        <w:rPr>
          <w:rFonts w:ascii="仿宋" w:hAnsi="仿宋" w:eastAsia="仿宋" w:cs="仿宋"/>
          <w:spacing w:val="5"/>
          <w:sz w:val="31"/>
          <w:szCs w:val="31"/>
        </w:rPr>
        <w:t>宗（均为探矿权</w:t>
      </w:r>
      <w:r>
        <w:rPr>
          <w:rFonts w:ascii="仿宋" w:hAnsi="仿宋" w:eastAsia="仿宋" w:cs="仿宋"/>
          <w:spacing w:val="31"/>
          <w:sz w:val="31"/>
          <w:szCs w:val="31"/>
        </w:rPr>
        <w:t>），</w:t>
      </w:r>
      <w:r>
        <w:rPr>
          <w:rFonts w:ascii="仿宋" w:hAnsi="仿宋" w:eastAsia="仿宋" w:cs="仿宋"/>
          <w:spacing w:val="5"/>
          <w:sz w:val="31"/>
          <w:szCs w:val="31"/>
        </w:rPr>
        <w:t>涉及</w:t>
      </w:r>
      <w:r>
        <w:rPr>
          <w:rFonts w:ascii="仿宋" w:hAnsi="仿宋" w:eastAsia="仿宋" w:cs="仿宋"/>
          <w:spacing w:val="6"/>
          <w:sz w:val="31"/>
          <w:szCs w:val="31"/>
        </w:rPr>
        <w:t>奖补退出的矿业权有</w:t>
      </w:r>
      <w:r>
        <w:rPr>
          <w:rFonts w:ascii="仿宋" w:hAnsi="仿宋" w:eastAsia="仿宋" w:cs="仿宋"/>
          <w:spacing w:val="-58"/>
          <w:sz w:val="31"/>
          <w:szCs w:val="31"/>
        </w:rPr>
        <w:t xml:space="preserve"> </w:t>
      </w:r>
      <w:r>
        <w:rPr>
          <w:rFonts w:ascii="Times New Roman" w:hAnsi="Times New Roman" w:eastAsia="Times New Roman" w:cs="Times New Roman"/>
          <w:spacing w:val="6"/>
          <w:sz w:val="31"/>
          <w:szCs w:val="31"/>
        </w:rPr>
        <w:t>37</w:t>
      </w:r>
      <w:r>
        <w:rPr>
          <w:rFonts w:ascii="Times New Roman" w:hAnsi="Times New Roman" w:eastAsia="Times New Roman" w:cs="Times New Roman"/>
          <w:spacing w:val="39"/>
          <w:sz w:val="31"/>
          <w:szCs w:val="31"/>
        </w:rPr>
        <w:t xml:space="preserve"> </w:t>
      </w:r>
      <w:r>
        <w:rPr>
          <w:rFonts w:ascii="仿宋" w:hAnsi="仿宋" w:eastAsia="仿宋" w:cs="仿宋"/>
          <w:spacing w:val="6"/>
          <w:sz w:val="31"/>
          <w:szCs w:val="31"/>
        </w:rPr>
        <w:t>宗，其中采矿权</w:t>
      </w:r>
      <w:r>
        <w:rPr>
          <w:rFonts w:ascii="Times New Roman" w:hAnsi="Times New Roman" w:eastAsia="Times New Roman" w:cs="Times New Roman"/>
          <w:spacing w:val="6"/>
          <w:sz w:val="31"/>
          <w:szCs w:val="31"/>
        </w:rPr>
        <w:t>2</w:t>
      </w:r>
      <w:r>
        <w:rPr>
          <w:rFonts w:ascii="Times New Roman" w:hAnsi="Times New Roman" w:eastAsia="Times New Roman" w:cs="Times New Roman"/>
          <w:spacing w:val="39"/>
          <w:sz w:val="31"/>
          <w:szCs w:val="31"/>
        </w:rPr>
        <w:t xml:space="preserve"> </w:t>
      </w:r>
      <w:r>
        <w:rPr>
          <w:rFonts w:ascii="仿宋" w:hAnsi="仿宋" w:eastAsia="仿宋" w:cs="仿宋"/>
          <w:spacing w:val="6"/>
          <w:sz w:val="31"/>
          <w:szCs w:val="31"/>
        </w:rPr>
        <w:t>宗，探矿权</w:t>
      </w:r>
      <w:r>
        <w:rPr>
          <w:rFonts w:ascii="仿宋" w:hAnsi="仿宋" w:eastAsia="仿宋" w:cs="仿宋"/>
          <w:spacing w:val="-61"/>
          <w:sz w:val="31"/>
          <w:szCs w:val="31"/>
        </w:rPr>
        <w:t xml:space="preserve"> </w:t>
      </w:r>
      <w:r>
        <w:rPr>
          <w:rFonts w:ascii="Times New Roman" w:hAnsi="Times New Roman" w:eastAsia="Times New Roman" w:cs="Times New Roman"/>
          <w:spacing w:val="6"/>
          <w:sz w:val="31"/>
          <w:szCs w:val="31"/>
        </w:rPr>
        <w:t>35</w:t>
      </w:r>
      <w:r>
        <w:rPr>
          <w:rFonts w:ascii="Times New Roman" w:hAnsi="Times New Roman" w:eastAsia="Times New Roman" w:cs="Times New Roman"/>
          <w:spacing w:val="39"/>
          <w:sz w:val="31"/>
          <w:szCs w:val="31"/>
        </w:rPr>
        <w:t xml:space="preserve"> </w:t>
      </w:r>
      <w:r>
        <w:rPr>
          <w:rFonts w:ascii="仿宋" w:hAnsi="仿宋" w:eastAsia="仿宋" w:cs="仿宋"/>
          <w:spacing w:val="6"/>
          <w:sz w:val="31"/>
          <w:szCs w:val="31"/>
        </w:rPr>
        <w:t>宗</w:t>
      </w:r>
      <w:r>
        <w:rPr>
          <w:rFonts w:ascii="仿宋" w:hAnsi="仿宋" w:eastAsia="仿宋" w:cs="仿宋"/>
          <w:spacing w:val="8"/>
          <w:sz w:val="31"/>
          <w:szCs w:val="31"/>
        </w:rPr>
        <w:t>（大熊猫国家公园内有</w:t>
      </w:r>
      <w:r>
        <w:rPr>
          <w:rFonts w:ascii="仿宋" w:hAnsi="仿宋" w:eastAsia="仿宋" w:cs="仿宋"/>
          <w:spacing w:val="-62"/>
          <w:sz w:val="31"/>
          <w:szCs w:val="31"/>
        </w:rPr>
        <w:t xml:space="preserve"> </w:t>
      </w:r>
      <w:r>
        <w:rPr>
          <w:rFonts w:ascii="Times New Roman" w:hAnsi="Times New Roman" w:eastAsia="Times New Roman" w:cs="Times New Roman"/>
          <w:spacing w:val="8"/>
          <w:sz w:val="31"/>
          <w:szCs w:val="31"/>
        </w:rPr>
        <w:t>2</w:t>
      </w:r>
      <w:r>
        <w:rPr>
          <w:rFonts w:ascii="Times New Roman" w:hAnsi="Times New Roman" w:eastAsia="Times New Roman" w:cs="Times New Roman"/>
          <w:spacing w:val="39"/>
          <w:sz w:val="31"/>
          <w:szCs w:val="31"/>
        </w:rPr>
        <w:t xml:space="preserve"> </w:t>
      </w:r>
      <w:r>
        <w:rPr>
          <w:rFonts w:ascii="仿宋" w:hAnsi="仿宋" w:eastAsia="仿宋" w:cs="仿宋"/>
          <w:spacing w:val="8"/>
          <w:sz w:val="31"/>
          <w:szCs w:val="31"/>
        </w:rPr>
        <w:t>宗</w:t>
      </w:r>
      <w:r>
        <w:rPr>
          <w:rFonts w:ascii="仿宋" w:hAnsi="仿宋" w:eastAsia="仿宋" w:cs="仿宋"/>
          <w:spacing w:val="14"/>
          <w:sz w:val="31"/>
          <w:szCs w:val="31"/>
        </w:rPr>
        <w:t>），</w:t>
      </w:r>
      <w:r>
        <w:rPr>
          <w:rFonts w:ascii="仿宋" w:hAnsi="仿宋" w:eastAsia="仿宋" w:cs="仿宋"/>
          <w:spacing w:val="8"/>
          <w:sz w:val="31"/>
          <w:szCs w:val="31"/>
        </w:rPr>
        <w:t>总体完成率为</w:t>
      </w:r>
      <w:r>
        <w:rPr>
          <w:rFonts w:ascii="仿宋" w:hAnsi="仿宋" w:eastAsia="仿宋" w:cs="仿宋"/>
          <w:spacing w:val="-45"/>
          <w:sz w:val="31"/>
          <w:szCs w:val="31"/>
        </w:rPr>
        <w:t xml:space="preserve"> </w:t>
      </w:r>
      <w:r>
        <w:rPr>
          <w:rFonts w:ascii="仿宋" w:hAnsi="仿宋" w:eastAsia="仿宋" w:cs="仿宋"/>
          <w:spacing w:val="8"/>
          <w:sz w:val="31"/>
          <w:szCs w:val="31"/>
        </w:rPr>
        <w:t>43%，熊猫国</w:t>
      </w:r>
      <w:r>
        <w:rPr>
          <w:rFonts w:ascii="仿宋" w:hAnsi="仿宋" w:eastAsia="仿宋" w:cs="仿宋"/>
          <w:spacing w:val="2"/>
          <w:sz w:val="31"/>
          <w:szCs w:val="31"/>
        </w:rPr>
        <w:t>家公园内</w:t>
      </w:r>
      <w:r>
        <w:rPr>
          <w:rFonts w:ascii="仿宋" w:hAnsi="仿宋" w:eastAsia="仿宋" w:cs="仿宋"/>
          <w:spacing w:val="-34"/>
          <w:sz w:val="31"/>
          <w:szCs w:val="31"/>
        </w:rPr>
        <w:t xml:space="preserve"> </w:t>
      </w:r>
      <w:r>
        <w:rPr>
          <w:rFonts w:ascii="仿宋" w:hAnsi="仿宋" w:eastAsia="仿宋" w:cs="仿宋"/>
          <w:spacing w:val="2"/>
          <w:sz w:val="31"/>
          <w:szCs w:val="31"/>
        </w:rPr>
        <w:t>3</w:t>
      </w:r>
      <w:r>
        <w:rPr>
          <w:rFonts w:ascii="仿宋" w:hAnsi="仿宋" w:eastAsia="仿宋" w:cs="仿宋"/>
          <w:spacing w:val="-49"/>
          <w:sz w:val="31"/>
          <w:szCs w:val="31"/>
        </w:rPr>
        <w:t xml:space="preserve"> </w:t>
      </w:r>
      <w:r>
        <w:rPr>
          <w:rFonts w:ascii="仿宋" w:hAnsi="仿宋" w:eastAsia="仿宋" w:cs="仿宋"/>
          <w:spacing w:val="2"/>
          <w:sz w:val="31"/>
          <w:szCs w:val="31"/>
        </w:rPr>
        <w:t>宗矿业权已经全部完成退出，完成率为</w:t>
      </w:r>
      <w:r>
        <w:rPr>
          <w:rFonts w:ascii="仿宋" w:hAnsi="仿宋" w:eastAsia="仿宋" w:cs="仿宋"/>
          <w:spacing w:val="-46"/>
          <w:sz w:val="31"/>
          <w:szCs w:val="31"/>
        </w:rPr>
        <w:t xml:space="preserve"> </w:t>
      </w:r>
      <w:r>
        <w:rPr>
          <w:rFonts w:ascii="仿宋" w:hAnsi="仿宋" w:eastAsia="仿宋" w:cs="仿宋"/>
          <w:spacing w:val="2"/>
          <w:sz w:val="31"/>
          <w:szCs w:val="31"/>
        </w:rPr>
        <w:t>100%。加</w:t>
      </w:r>
      <w:r>
        <w:rPr>
          <w:rFonts w:ascii="仿宋" w:hAnsi="仿宋" w:eastAsia="仿宋" w:cs="仿宋"/>
          <w:spacing w:val="-3"/>
          <w:sz w:val="31"/>
          <w:szCs w:val="31"/>
        </w:rPr>
        <w:t>快奖补退出矿业权奖补资金的申报工作，按照“一矿一策”，</w:t>
      </w:r>
      <w:r>
        <w:rPr>
          <w:rFonts w:ascii="仿宋" w:hAnsi="仿宋" w:eastAsia="仿宋" w:cs="仿宋"/>
          <w:spacing w:val="7"/>
          <w:sz w:val="31"/>
          <w:szCs w:val="31"/>
        </w:rPr>
        <w:t>逐步有序退出。</w:t>
      </w:r>
    </w:p>
    <w:p w14:paraId="42A5E4B7">
      <w:pPr>
        <w:pStyle w:val="2"/>
        <w:spacing w:before="74" w:line="354" w:lineRule="auto"/>
        <w:ind w:left="28" w:right="28" w:firstLine="638"/>
        <w:jc w:val="both"/>
        <w:rPr>
          <w:rFonts w:ascii="仿宋" w:hAnsi="仿宋" w:eastAsia="仿宋" w:cs="仿宋"/>
          <w:sz w:val="31"/>
          <w:szCs w:val="31"/>
        </w:rPr>
      </w:pPr>
      <w:r>
        <w:rPr>
          <w:rFonts w:ascii="微软雅黑" w:hAnsi="微软雅黑" w:eastAsia="微软雅黑" w:cs="微软雅黑"/>
          <w:spacing w:val="6"/>
          <w:sz w:val="31"/>
          <w:szCs w:val="31"/>
        </w:rPr>
        <w:t>矿山稳定达产难度大</w:t>
      </w:r>
      <w:r>
        <w:rPr>
          <w:rFonts w:ascii="微软雅黑" w:hAnsi="微软雅黑" w:eastAsia="微软雅黑" w:cs="微软雅黑"/>
          <w:spacing w:val="-45"/>
          <w:sz w:val="31"/>
          <w:szCs w:val="31"/>
        </w:rPr>
        <w:t xml:space="preserve"> </w:t>
      </w:r>
      <w:r>
        <w:rPr>
          <w:spacing w:val="6"/>
          <w:sz w:val="31"/>
          <w:szCs w:val="31"/>
        </w:rPr>
        <w:t>.</w:t>
      </w:r>
      <w:r>
        <w:rPr>
          <w:spacing w:val="26"/>
          <w:w w:val="101"/>
          <w:sz w:val="31"/>
          <w:szCs w:val="31"/>
        </w:rPr>
        <w:t xml:space="preserve">  </w:t>
      </w:r>
      <w:r>
        <w:rPr>
          <w:rFonts w:ascii="仿宋" w:hAnsi="仿宋" w:eastAsia="仿宋" w:cs="仿宋"/>
          <w:spacing w:val="6"/>
          <w:sz w:val="31"/>
          <w:szCs w:val="31"/>
        </w:rPr>
        <w:t>全州锂矿资源开发利用设计生产</w:t>
      </w:r>
      <w:r>
        <w:rPr>
          <w:rFonts w:ascii="仿宋" w:hAnsi="仿宋" w:eastAsia="仿宋" w:cs="仿宋"/>
          <w:spacing w:val="8"/>
          <w:sz w:val="31"/>
          <w:szCs w:val="31"/>
        </w:rPr>
        <w:t>规模为</w:t>
      </w:r>
      <w:r>
        <w:rPr>
          <w:rFonts w:ascii="仿宋" w:hAnsi="仿宋" w:eastAsia="仿宋" w:cs="仿宋"/>
          <w:spacing w:val="-32"/>
          <w:sz w:val="31"/>
          <w:szCs w:val="31"/>
        </w:rPr>
        <w:t xml:space="preserve"> </w:t>
      </w:r>
      <w:r>
        <w:rPr>
          <w:rFonts w:ascii="仿宋" w:hAnsi="仿宋" w:eastAsia="仿宋" w:cs="仿宋"/>
          <w:spacing w:val="8"/>
          <w:sz w:val="31"/>
          <w:szCs w:val="31"/>
        </w:rPr>
        <w:t>150.5</w:t>
      </w:r>
      <w:r>
        <w:rPr>
          <w:rFonts w:ascii="仿宋" w:hAnsi="仿宋" w:eastAsia="仿宋" w:cs="仿宋"/>
          <w:spacing w:val="-44"/>
          <w:sz w:val="31"/>
          <w:szCs w:val="31"/>
        </w:rPr>
        <w:t xml:space="preserve"> </w:t>
      </w:r>
      <w:r>
        <w:rPr>
          <w:rFonts w:ascii="仿宋" w:hAnsi="仿宋" w:eastAsia="仿宋" w:cs="仿宋"/>
          <w:spacing w:val="8"/>
          <w:sz w:val="31"/>
          <w:szCs w:val="31"/>
        </w:rPr>
        <w:t>万吨/年，实际生产</w:t>
      </w:r>
      <w:r>
        <w:rPr>
          <w:rFonts w:ascii="仿宋" w:hAnsi="仿宋" w:eastAsia="仿宋" w:cs="仿宋"/>
          <w:spacing w:val="-39"/>
          <w:sz w:val="31"/>
          <w:szCs w:val="31"/>
        </w:rPr>
        <w:t xml:space="preserve"> </w:t>
      </w:r>
      <w:r>
        <w:rPr>
          <w:rFonts w:ascii="仿宋" w:hAnsi="仿宋" w:eastAsia="仿宋" w:cs="仿宋"/>
          <w:spacing w:val="8"/>
          <w:sz w:val="31"/>
          <w:szCs w:val="31"/>
        </w:rPr>
        <w:t>2.</w:t>
      </w:r>
      <w:r>
        <w:rPr>
          <w:rFonts w:ascii="仿宋" w:hAnsi="仿宋" w:eastAsia="仿宋" w:cs="仿宋"/>
          <w:spacing w:val="7"/>
          <w:sz w:val="31"/>
          <w:szCs w:val="31"/>
        </w:rPr>
        <w:t>38</w:t>
      </w:r>
      <w:r>
        <w:rPr>
          <w:rFonts w:ascii="仿宋" w:hAnsi="仿宋" w:eastAsia="仿宋" w:cs="仿宋"/>
          <w:spacing w:val="-43"/>
          <w:sz w:val="31"/>
          <w:szCs w:val="31"/>
        </w:rPr>
        <w:t xml:space="preserve"> </w:t>
      </w:r>
      <w:r>
        <w:rPr>
          <w:rFonts w:ascii="仿宋" w:hAnsi="仿宋" w:eastAsia="仿宋" w:cs="仿宋"/>
          <w:spacing w:val="7"/>
          <w:sz w:val="31"/>
          <w:szCs w:val="31"/>
        </w:rPr>
        <w:t>万吨/年；金矿设计</w:t>
      </w:r>
      <w:r>
        <w:rPr>
          <w:rFonts w:ascii="仿宋" w:hAnsi="仿宋" w:eastAsia="仿宋" w:cs="仿宋"/>
          <w:spacing w:val="3"/>
          <w:sz w:val="31"/>
          <w:szCs w:val="31"/>
        </w:rPr>
        <w:t>生产规模为</w:t>
      </w:r>
      <w:r>
        <w:rPr>
          <w:rFonts w:ascii="仿宋" w:hAnsi="仿宋" w:eastAsia="仿宋" w:cs="仿宋"/>
          <w:spacing w:val="-46"/>
          <w:sz w:val="31"/>
          <w:szCs w:val="31"/>
        </w:rPr>
        <w:t xml:space="preserve"> </w:t>
      </w:r>
      <w:r>
        <w:rPr>
          <w:rFonts w:ascii="仿宋" w:hAnsi="仿宋" w:eastAsia="仿宋" w:cs="仿宋"/>
          <w:spacing w:val="3"/>
          <w:sz w:val="31"/>
          <w:szCs w:val="31"/>
        </w:rPr>
        <w:t>69.36</w:t>
      </w:r>
      <w:r>
        <w:rPr>
          <w:rFonts w:ascii="仿宋" w:hAnsi="仿宋" w:eastAsia="仿宋" w:cs="仿宋"/>
          <w:spacing w:val="-44"/>
          <w:sz w:val="31"/>
          <w:szCs w:val="31"/>
        </w:rPr>
        <w:t xml:space="preserve"> </w:t>
      </w:r>
      <w:r>
        <w:rPr>
          <w:rFonts w:ascii="仿宋" w:hAnsi="仿宋" w:eastAsia="仿宋" w:cs="仿宋"/>
          <w:spacing w:val="3"/>
          <w:sz w:val="31"/>
          <w:szCs w:val="31"/>
        </w:rPr>
        <w:t>万吨/年，实际生产</w:t>
      </w:r>
      <w:r>
        <w:rPr>
          <w:rFonts w:ascii="仿宋" w:hAnsi="仿宋" w:eastAsia="仿宋" w:cs="仿宋"/>
          <w:spacing w:val="-41"/>
          <w:sz w:val="31"/>
          <w:szCs w:val="31"/>
        </w:rPr>
        <w:t xml:space="preserve"> </w:t>
      </w:r>
      <w:r>
        <w:rPr>
          <w:rFonts w:ascii="仿宋" w:hAnsi="仿宋" w:eastAsia="仿宋" w:cs="仿宋"/>
          <w:spacing w:val="3"/>
          <w:sz w:val="31"/>
          <w:szCs w:val="31"/>
        </w:rPr>
        <w:t>10.13</w:t>
      </w:r>
      <w:r>
        <w:rPr>
          <w:rFonts w:ascii="仿宋" w:hAnsi="仿宋" w:eastAsia="仿宋" w:cs="仿宋"/>
          <w:spacing w:val="-43"/>
          <w:sz w:val="31"/>
          <w:szCs w:val="31"/>
        </w:rPr>
        <w:t xml:space="preserve"> </w:t>
      </w:r>
      <w:r>
        <w:rPr>
          <w:rFonts w:ascii="仿宋" w:hAnsi="仿宋" w:eastAsia="仿宋" w:cs="仿宋"/>
          <w:spacing w:val="3"/>
          <w:sz w:val="31"/>
          <w:szCs w:val="31"/>
        </w:rPr>
        <w:t>万吨/年</w:t>
      </w:r>
      <w:r>
        <w:rPr>
          <w:rFonts w:ascii="仿宋" w:hAnsi="仿宋" w:eastAsia="仿宋" w:cs="仿宋"/>
          <w:spacing w:val="2"/>
          <w:sz w:val="31"/>
          <w:szCs w:val="31"/>
        </w:rPr>
        <w:t>。矿山</w:t>
      </w:r>
      <w:r>
        <w:rPr>
          <w:rFonts w:ascii="仿宋" w:hAnsi="仿宋" w:eastAsia="仿宋" w:cs="仿宋"/>
          <w:spacing w:val="-3"/>
          <w:sz w:val="31"/>
          <w:szCs w:val="31"/>
        </w:rPr>
        <w:t>企业受自身债务、基础建设、各类自然灾害、生态环保改造、</w:t>
      </w:r>
      <w:r>
        <w:rPr>
          <w:rFonts w:ascii="仿宋" w:hAnsi="仿宋" w:eastAsia="仿宋" w:cs="仿宋"/>
          <w:spacing w:val="8"/>
          <w:sz w:val="31"/>
          <w:szCs w:val="31"/>
        </w:rPr>
        <w:t>矿地补偿权属争议等因素影响，产能利用率低，资源优势未</w:t>
      </w:r>
      <w:r>
        <w:rPr>
          <w:rFonts w:ascii="仿宋" w:hAnsi="仿宋" w:eastAsia="仿宋" w:cs="仿宋"/>
          <w:spacing w:val="4"/>
          <w:sz w:val="31"/>
          <w:szCs w:val="31"/>
        </w:rPr>
        <w:t>充分释放。</w:t>
      </w:r>
    </w:p>
    <w:p w14:paraId="20585F8F">
      <w:pPr>
        <w:spacing w:before="105" w:line="335" w:lineRule="auto"/>
        <w:ind w:left="37" w:right="48" w:firstLine="633"/>
        <w:jc w:val="both"/>
        <w:rPr>
          <w:rFonts w:ascii="仿宋" w:hAnsi="仿宋" w:eastAsia="仿宋" w:cs="仿宋"/>
          <w:sz w:val="31"/>
          <w:szCs w:val="31"/>
        </w:rPr>
      </w:pPr>
      <w:r>
        <w:rPr>
          <w:rFonts w:ascii="微软雅黑" w:hAnsi="微软雅黑" w:eastAsia="微软雅黑" w:cs="微软雅黑"/>
          <w:sz w:val="31"/>
          <w:szCs w:val="31"/>
        </w:rPr>
        <w:t>锂矿资源综合利用水平总体不高</w:t>
      </w:r>
      <w:r>
        <w:rPr>
          <w:rFonts w:ascii="微软雅黑" w:hAnsi="微软雅黑" w:eastAsia="微软雅黑" w:cs="微软雅黑"/>
          <w:spacing w:val="-46"/>
          <w:sz w:val="31"/>
          <w:szCs w:val="31"/>
        </w:rPr>
        <w:t xml:space="preserve"> </w:t>
      </w:r>
      <w:r>
        <w:rPr>
          <w:rFonts w:ascii="微软雅黑" w:hAnsi="微软雅黑" w:eastAsia="微软雅黑" w:cs="微软雅黑"/>
          <w:sz w:val="31"/>
          <w:szCs w:val="31"/>
        </w:rPr>
        <w:t>。</w:t>
      </w:r>
      <w:r>
        <w:rPr>
          <w:rFonts w:ascii="仿宋" w:hAnsi="仿宋" w:eastAsia="仿宋" w:cs="仿宋"/>
          <w:sz w:val="31"/>
          <w:szCs w:val="31"/>
        </w:rPr>
        <w:t>优势战略矿种锂矿伴</w:t>
      </w:r>
      <w:r>
        <w:rPr>
          <w:rFonts w:ascii="仿宋" w:hAnsi="仿宋" w:eastAsia="仿宋" w:cs="仿宋"/>
          <w:spacing w:val="8"/>
          <w:sz w:val="31"/>
          <w:szCs w:val="31"/>
        </w:rPr>
        <w:t>生的铍、铌、钽等有益元素综合利用率低，矿产资源的集约</w:t>
      </w:r>
      <w:r>
        <w:rPr>
          <w:rFonts w:ascii="仿宋" w:hAnsi="仿宋" w:eastAsia="仿宋" w:cs="仿宋"/>
          <w:spacing w:val="7"/>
          <w:sz w:val="31"/>
          <w:szCs w:val="31"/>
        </w:rPr>
        <w:t>化开发与综合利用水平有待进一步提升。</w:t>
      </w:r>
    </w:p>
    <w:p w14:paraId="467E6F3B">
      <w:pPr>
        <w:spacing w:before="3" w:line="321" w:lineRule="auto"/>
        <w:ind w:left="28" w:firstLine="570"/>
        <w:rPr>
          <w:rFonts w:ascii="仿宋" w:hAnsi="仿宋" w:eastAsia="仿宋" w:cs="仿宋"/>
          <w:sz w:val="31"/>
          <w:szCs w:val="31"/>
        </w:rPr>
      </w:pPr>
      <w:r>
        <w:rPr>
          <w:rFonts w:ascii="微软雅黑" w:hAnsi="微软雅黑" w:eastAsia="微软雅黑" w:cs="微软雅黑"/>
          <w:spacing w:val="8"/>
          <w:sz w:val="31"/>
          <w:szCs w:val="31"/>
        </w:rPr>
        <w:t>资源产业结构尚需进一步优化</w:t>
      </w:r>
      <w:r>
        <w:rPr>
          <w:rFonts w:ascii="微软雅黑" w:hAnsi="微软雅黑" w:eastAsia="微软雅黑" w:cs="微软雅黑"/>
          <w:spacing w:val="-48"/>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52"/>
          <w:sz w:val="31"/>
          <w:szCs w:val="31"/>
        </w:rPr>
        <w:t xml:space="preserve"> </w:t>
      </w:r>
      <w:r>
        <w:rPr>
          <w:rFonts w:ascii="仿宋" w:hAnsi="仿宋" w:eastAsia="仿宋" w:cs="仿宋"/>
          <w:spacing w:val="8"/>
          <w:sz w:val="31"/>
          <w:szCs w:val="31"/>
        </w:rPr>
        <w:t>我州矿业开发利用以销</w:t>
      </w:r>
      <w:r>
        <w:rPr>
          <w:rFonts w:ascii="仿宋" w:hAnsi="仿宋" w:eastAsia="仿宋" w:cs="仿宋"/>
          <w:spacing w:val="-2"/>
          <w:sz w:val="31"/>
          <w:szCs w:val="31"/>
        </w:rPr>
        <w:t>售原矿石为主，矿产品深加工基础相对薄弱，深入推动锂矿、</w:t>
      </w:r>
    </w:p>
    <w:p w14:paraId="1EE86CF9">
      <w:pPr>
        <w:spacing w:line="321" w:lineRule="auto"/>
        <w:rPr>
          <w:rFonts w:ascii="仿宋" w:hAnsi="仿宋" w:eastAsia="仿宋" w:cs="仿宋"/>
          <w:sz w:val="31"/>
          <w:szCs w:val="31"/>
        </w:rPr>
        <w:sectPr>
          <w:footerReference r:id="rId14" w:type="default"/>
          <w:pgSz w:w="11904" w:h="16835"/>
          <w:pgMar w:top="1430" w:right="1753" w:bottom="1289" w:left="1785" w:header="0" w:footer="923" w:gutter="0"/>
          <w:cols w:space="720" w:num="1"/>
        </w:sectPr>
      </w:pPr>
    </w:p>
    <w:p w14:paraId="0ADA870A">
      <w:pPr>
        <w:spacing w:before="135" w:line="367" w:lineRule="auto"/>
        <w:ind w:left="55" w:hanging="27"/>
        <w:rPr>
          <w:rFonts w:ascii="仿宋" w:hAnsi="仿宋" w:eastAsia="仿宋" w:cs="仿宋"/>
          <w:sz w:val="31"/>
          <w:szCs w:val="31"/>
        </w:rPr>
      </w:pPr>
      <w:r>
        <w:rPr>
          <w:rFonts w:ascii="仿宋" w:hAnsi="仿宋" w:eastAsia="仿宋" w:cs="仿宋"/>
          <w:spacing w:val="13"/>
          <w:sz w:val="31"/>
          <w:szCs w:val="31"/>
        </w:rPr>
        <w:t>金矿、锰矿等矿产加大中下游产品研发力度，利用</w:t>
      </w:r>
      <w:r>
        <w:rPr>
          <w:rFonts w:ascii="仿宋" w:hAnsi="仿宋" w:eastAsia="仿宋" w:cs="仿宋"/>
          <w:spacing w:val="-107"/>
          <w:sz w:val="31"/>
          <w:szCs w:val="31"/>
        </w:rPr>
        <w:t xml:space="preserve"> </w:t>
      </w:r>
      <w:r>
        <w:rPr>
          <w:rFonts w:ascii="仿宋" w:hAnsi="仿宋" w:eastAsia="仿宋" w:cs="仿宋"/>
          <w:spacing w:val="13"/>
          <w:sz w:val="31"/>
          <w:szCs w:val="31"/>
        </w:rPr>
        <w:t>“飞地”</w:t>
      </w:r>
      <w:r>
        <w:rPr>
          <w:rFonts w:ascii="仿宋" w:hAnsi="仿宋" w:eastAsia="仿宋" w:cs="仿宋"/>
          <w:spacing w:val="7"/>
          <w:sz w:val="31"/>
          <w:szCs w:val="31"/>
        </w:rPr>
        <w:t>园区延伸相关产业链，将资源优势转化为经济发展优势。</w:t>
      </w:r>
    </w:p>
    <w:p w14:paraId="4A5C42B5">
      <w:pPr>
        <w:spacing w:line="331" w:lineRule="auto"/>
        <w:ind w:left="26" w:right="159" w:firstLine="560"/>
        <w:jc w:val="both"/>
        <w:rPr>
          <w:rFonts w:ascii="仿宋" w:hAnsi="仿宋" w:eastAsia="仿宋" w:cs="仿宋"/>
          <w:sz w:val="31"/>
          <w:szCs w:val="31"/>
        </w:rPr>
      </w:pPr>
      <w:r>
        <w:rPr>
          <w:rFonts w:ascii="微软雅黑" w:hAnsi="微软雅黑" w:eastAsia="微软雅黑" w:cs="微软雅黑"/>
          <w:spacing w:val="8"/>
          <w:sz w:val="31"/>
          <w:szCs w:val="31"/>
        </w:rPr>
        <w:t>历史遗留矿山生态修复难度大</w:t>
      </w:r>
      <w:r>
        <w:rPr>
          <w:rFonts w:ascii="微软雅黑" w:hAnsi="微软雅黑" w:eastAsia="微软雅黑" w:cs="微软雅黑"/>
          <w:spacing w:val="-35"/>
          <w:sz w:val="31"/>
          <w:szCs w:val="31"/>
        </w:rPr>
        <w:t xml:space="preserve"> </w:t>
      </w:r>
      <w:r>
        <w:rPr>
          <w:rFonts w:ascii="微软雅黑" w:hAnsi="微软雅黑" w:eastAsia="微软雅黑" w:cs="微软雅黑"/>
          <w:spacing w:val="8"/>
          <w:sz w:val="31"/>
          <w:szCs w:val="31"/>
        </w:rPr>
        <w:t>。</w:t>
      </w:r>
      <w:r>
        <w:rPr>
          <w:rFonts w:ascii="微软雅黑" w:hAnsi="微软雅黑" w:eastAsia="微软雅黑" w:cs="微软雅黑"/>
          <w:spacing w:val="-52"/>
          <w:sz w:val="31"/>
          <w:szCs w:val="31"/>
        </w:rPr>
        <w:t xml:space="preserve"> </w:t>
      </w:r>
      <w:r>
        <w:rPr>
          <w:rFonts w:ascii="仿宋" w:hAnsi="仿宋" w:eastAsia="仿宋" w:cs="仿宋"/>
          <w:spacing w:val="8"/>
          <w:sz w:val="31"/>
          <w:szCs w:val="31"/>
        </w:rPr>
        <w:t>我州地处川西高原</w:t>
      </w:r>
      <w:r>
        <w:rPr>
          <w:rFonts w:ascii="仿宋" w:hAnsi="仿宋" w:eastAsia="仿宋" w:cs="仿宋"/>
          <w:spacing w:val="8"/>
          <w:position w:val="-9"/>
          <w:sz w:val="31"/>
          <w:szCs w:val="31"/>
        </w:rPr>
        <w:t>，</w:t>
      </w:r>
      <w:r>
        <w:rPr>
          <w:rFonts w:ascii="仿宋" w:hAnsi="仿宋" w:eastAsia="仿宋" w:cs="仿宋"/>
          <w:spacing w:val="8"/>
          <w:sz w:val="31"/>
          <w:szCs w:val="31"/>
        </w:rPr>
        <w:t>生</w:t>
      </w:r>
      <w:r>
        <w:rPr>
          <w:rFonts w:ascii="仿宋" w:hAnsi="仿宋" w:eastAsia="仿宋" w:cs="仿宋"/>
          <w:spacing w:val="9"/>
          <w:sz w:val="31"/>
          <w:szCs w:val="31"/>
        </w:rPr>
        <w:t>态环境脆弱，环境容量有限，历史遗留矿山生</w:t>
      </w:r>
      <w:r>
        <w:rPr>
          <w:rFonts w:ascii="仿宋" w:hAnsi="仿宋" w:eastAsia="仿宋" w:cs="仿宋"/>
          <w:spacing w:val="8"/>
          <w:sz w:val="31"/>
          <w:szCs w:val="31"/>
        </w:rPr>
        <w:t>态修复投入成本高，治理恢复周期长，短期内生态效益难以显现。</w:t>
      </w:r>
    </w:p>
    <w:p w14:paraId="6692C3A4">
      <w:pPr>
        <w:spacing w:before="134" w:line="328" w:lineRule="exact"/>
        <w:ind w:left="671"/>
        <w:rPr>
          <w:rFonts w:ascii="微软雅黑" w:hAnsi="微软雅黑" w:eastAsia="微软雅黑" w:cs="微软雅黑"/>
          <w:sz w:val="31"/>
          <w:szCs w:val="31"/>
        </w:rPr>
      </w:pPr>
      <w:r>
        <w:rPr>
          <w:rFonts w:ascii="微软雅黑" w:hAnsi="微软雅黑" w:eastAsia="微软雅黑" w:cs="微软雅黑"/>
          <w:spacing w:val="-4"/>
          <w:position w:val="-1"/>
          <w:sz w:val="31"/>
          <w:szCs w:val="31"/>
        </w:rPr>
        <w:t>二</w:t>
      </w:r>
      <w:r>
        <w:rPr>
          <w:rFonts w:ascii="微软雅黑" w:hAnsi="微软雅黑" w:eastAsia="微软雅黑" w:cs="微软雅黑"/>
          <w:spacing w:val="-41"/>
          <w:position w:val="-1"/>
          <w:sz w:val="31"/>
          <w:szCs w:val="31"/>
        </w:rPr>
        <w:t xml:space="preserve"> </w:t>
      </w:r>
      <w:r>
        <w:rPr>
          <w:rFonts w:ascii="微软雅黑" w:hAnsi="微软雅黑" w:eastAsia="微软雅黑" w:cs="微软雅黑"/>
          <w:spacing w:val="-4"/>
          <w:position w:val="-1"/>
          <w:sz w:val="31"/>
          <w:szCs w:val="31"/>
        </w:rPr>
        <w:t>、形势与要求</w:t>
      </w:r>
    </w:p>
    <w:p w14:paraId="123C10DA">
      <w:pPr>
        <w:spacing w:before="218" w:line="371" w:lineRule="auto"/>
        <w:ind w:left="20" w:right="159" w:firstLine="681"/>
        <w:rPr>
          <w:rFonts w:ascii="仿宋" w:hAnsi="仿宋" w:eastAsia="仿宋" w:cs="仿宋"/>
          <w:sz w:val="31"/>
          <w:szCs w:val="31"/>
        </w:rPr>
      </w:pPr>
      <w:r>
        <w:rPr>
          <w:rFonts w:ascii="仿宋" w:hAnsi="仿宋" w:eastAsia="仿宋" w:cs="仿宋"/>
          <w:spacing w:val="21"/>
          <w:sz w:val="31"/>
          <w:szCs w:val="31"/>
        </w:rPr>
        <w:t>中央第七次西藏工作座谈会和省委涉藏工作会议出台</w:t>
      </w:r>
      <w:r>
        <w:rPr>
          <w:rFonts w:ascii="仿宋" w:hAnsi="仿宋" w:eastAsia="仿宋" w:cs="仿宋"/>
          <w:spacing w:val="9"/>
          <w:sz w:val="31"/>
          <w:szCs w:val="31"/>
        </w:rPr>
        <w:t>系列政策举措，继续支持涉藏地区发展，为我州加快发展提</w:t>
      </w:r>
      <w:r>
        <w:rPr>
          <w:rFonts w:ascii="仿宋" w:hAnsi="仿宋" w:eastAsia="仿宋" w:cs="仿宋"/>
          <w:spacing w:val="6"/>
          <w:sz w:val="31"/>
          <w:szCs w:val="31"/>
        </w:rPr>
        <w:t>供了重大政策保障。</w:t>
      </w:r>
      <w:r>
        <w:rPr>
          <w:rFonts w:ascii="仿宋" w:hAnsi="仿宋" w:eastAsia="仿宋" w:cs="仿宋"/>
          <w:spacing w:val="-77"/>
          <w:sz w:val="31"/>
          <w:szCs w:val="31"/>
        </w:rPr>
        <w:t xml:space="preserve"> </w:t>
      </w:r>
      <w:r>
        <w:rPr>
          <w:rFonts w:ascii="仿宋" w:hAnsi="仿宋" w:eastAsia="仿宋" w:cs="仿宋"/>
          <w:spacing w:val="6"/>
          <w:sz w:val="31"/>
          <w:szCs w:val="31"/>
        </w:rPr>
        <w:t>国家加快构建双循环新发展格局，为我</w:t>
      </w:r>
      <w:r>
        <w:rPr>
          <w:rFonts w:ascii="仿宋" w:hAnsi="仿宋" w:eastAsia="仿宋" w:cs="仿宋"/>
          <w:spacing w:val="9"/>
          <w:sz w:val="31"/>
          <w:szCs w:val="31"/>
        </w:rPr>
        <w:t>州加快发展特色优势产业、释放内需活力带来了重大契机。</w:t>
      </w:r>
      <w:r>
        <w:rPr>
          <w:rFonts w:ascii="仿宋" w:hAnsi="仿宋" w:eastAsia="仿宋" w:cs="仿宋"/>
          <w:spacing w:val="7"/>
          <w:sz w:val="31"/>
          <w:szCs w:val="31"/>
        </w:rPr>
        <w:t>推动我省</w:t>
      </w:r>
      <w:r>
        <w:rPr>
          <w:rFonts w:ascii="Times New Roman" w:hAnsi="Times New Roman" w:eastAsia="Times New Roman" w:cs="Times New Roman"/>
          <w:spacing w:val="7"/>
          <w:sz w:val="31"/>
          <w:szCs w:val="31"/>
        </w:rPr>
        <w:t>“</w:t>
      </w:r>
      <w:r>
        <w:rPr>
          <w:rFonts w:ascii="Times New Roman" w:hAnsi="Times New Roman" w:eastAsia="Times New Roman" w:cs="Times New Roman"/>
          <w:spacing w:val="-30"/>
          <w:sz w:val="31"/>
          <w:szCs w:val="31"/>
        </w:rPr>
        <w:t xml:space="preserve"> </w:t>
      </w:r>
      <w:r>
        <w:rPr>
          <w:rFonts w:ascii="仿宋" w:hAnsi="仿宋" w:eastAsia="仿宋" w:cs="仿宋"/>
          <w:spacing w:val="7"/>
          <w:sz w:val="31"/>
          <w:szCs w:val="31"/>
        </w:rPr>
        <w:t>一干多支、五区协同</w:t>
      </w:r>
      <w:r>
        <w:rPr>
          <w:rFonts w:ascii="Times New Roman" w:hAnsi="Times New Roman" w:eastAsia="Times New Roman" w:cs="Times New Roman"/>
          <w:spacing w:val="7"/>
          <w:sz w:val="31"/>
          <w:szCs w:val="31"/>
        </w:rPr>
        <w:t>”</w:t>
      </w:r>
      <w:r>
        <w:rPr>
          <w:rFonts w:ascii="Times New Roman" w:hAnsi="Times New Roman" w:eastAsia="Times New Roman" w:cs="Times New Roman"/>
          <w:spacing w:val="-45"/>
          <w:sz w:val="31"/>
          <w:szCs w:val="31"/>
        </w:rPr>
        <w:t xml:space="preserve"> </w:t>
      </w:r>
      <w:r>
        <w:rPr>
          <w:rFonts w:ascii="仿宋" w:hAnsi="仿宋" w:eastAsia="仿宋" w:cs="仿宋"/>
          <w:spacing w:val="7"/>
          <w:sz w:val="31"/>
          <w:szCs w:val="31"/>
        </w:rPr>
        <w:t>战略布局，支持川西北生态</w:t>
      </w:r>
      <w:r>
        <w:rPr>
          <w:rFonts w:ascii="仿宋" w:hAnsi="仿宋" w:eastAsia="仿宋" w:cs="仿宋"/>
          <w:spacing w:val="9"/>
          <w:sz w:val="31"/>
          <w:szCs w:val="31"/>
        </w:rPr>
        <w:t>示范区发展生态经济，强化川西北生态示范区特色文化旅游</w:t>
      </w:r>
      <w:r>
        <w:rPr>
          <w:rFonts w:ascii="仿宋" w:hAnsi="仿宋" w:eastAsia="仿宋" w:cs="仿宋"/>
          <w:spacing w:val="19"/>
          <w:sz w:val="31"/>
          <w:szCs w:val="31"/>
        </w:rPr>
        <w:t>功能，</w:t>
      </w:r>
      <w:r>
        <w:rPr>
          <w:rFonts w:ascii="仿宋" w:hAnsi="仿宋" w:eastAsia="仿宋" w:cs="仿宋"/>
          <w:spacing w:val="-84"/>
          <w:sz w:val="31"/>
          <w:szCs w:val="31"/>
        </w:rPr>
        <w:t xml:space="preserve"> </w:t>
      </w:r>
      <w:r>
        <w:rPr>
          <w:rFonts w:ascii="仿宋" w:hAnsi="仿宋" w:eastAsia="仿宋" w:cs="仿宋"/>
          <w:spacing w:val="19"/>
          <w:sz w:val="31"/>
          <w:szCs w:val="31"/>
        </w:rPr>
        <w:t>以锂矿、地热等矿业发展不断巩固脱贫攻坚成</w:t>
      </w:r>
      <w:r>
        <w:rPr>
          <w:rFonts w:ascii="仿宋" w:hAnsi="仿宋" w:eastAsia="仿宋" w:cs="仿宋"/>
          <w:spacing w:val="18"/>
          <w:sz w:val="31"/>
          <w:szCs w:val="31"/>
        </w:rPr>
        <w:t>果，</w:t>
      </w:r>
      <w:r>
        <w:rPr>
          <w:rFonts w:ascii="仿宋" w:hAnsi="仿宋" w:eastAsia="仿宋" w:cs="仿宋"/>
          <w:spacing w:val="9"/>
          <w:sz w:val="31"/>
          <w:szCs w:val="31"/>
        </w:rPr>
        <w:t>助力乡村振兴，助推全域旅游，为我州高质量发展赋予全新</w:t>
      </w:r>
      <w:r>
        <w:rPr>
          <w:rFonts w:ascii="仿宋" w:hAnsi="仿宋" w:eastAsia="仿宋" w:cs="仿宋"/>
          <w:spacing w:val="8"/>
          <w:sz w:val="31"/>
          <w:szCs w:val="31"/>
        </w:rPr>
        <w:t>优势、创造更为有利的条件。</w:t>
      </w:r>
    </w:p>
    <w:p w14:paraId="27EF967A">
      <w:pPr>
        <w:spacing w:before="12" w:line="355" w:lineRule="auto"/>
        <w:ind w:left="21" w:right="150" w:firstLine="652"/>
        <w:jc w:val="both"/>
        <w:rPr>
          <w:rFonts w:ascii="仿宋" w:hAnsi="仿宋" w:eastAsia="仿宋" w:cs="仿宋"/>
          <w:sz w:val="31"/>
          <w:szCs w:val="31"/>
        </w:rPr>
      </w:pPr>
      <w:r>
        <w:rPr>
          <w:rFonts w:ascii="微软雅黑" w:hAnsi="微软雅黑" w:eastAsia="微软雅黑" w:cs="微软雅黑"/>
          <w:spacing w:val="1"/>
          <w:sz w:val="31"/>
          <w:szCs w:val="31"/>
        </w:rPr>
        <w:t>生态文明建设对矿业高质量发展的要求</w:t>
      </w:r>
      <w:r>
        <w:rPr>
          <w:rFonts w:ascii="微软雅黑" w:hAnsi="微软雅黑" w:eastAsia="微软雅黑" w:cs="微软雅黑"/>
          <w:spacing w:val="-46"/>
          <w:sz w:val="31"/>
          <w:szCs w:val="31"/>
        </w:rPr>
        <w:t xml:space="preserve"> </w:t>
      </w:r>
      <w:r>
        <w:rPr>
          <w:rFonts w:ascii="微软雅黑" w:hAnsi="微软雅黑" w:eastAsia="微软雅黑" w:cs="微软雅黑"/>
          <w:spacing w:val="1"/>
          <w:sz w:val="31"/>
          <w:szCs w:val="31"/>
        </w:rPr>
        <w:t>。</w:t>
      </w:r>
      <w:r>
        <w:rPr>
          <w:rFonts w:ascii="微软雅黑" w:hAnsi="微软雅黑" w:eastAsia="微软雅黑" w:cs="微软雅黑"/>
          <w:spacing w:val="-52"/>
          <w:sz w:val="31"/>
          <w:szCs w:val="31"/>
        </w:rPr>
        <w:t xml:space="preserve"> </w:t>
      </w:r>
      <w:r>
        <w:rPr>
          <w:rFonts w:ascii="仿宋" w:hAnsi="仿宋" w:eastAsia="仿宋" w:cs="仿宋"/>
          <w:spacing w:val="1"/>
          <w:sz w:val="31"/>
          <w:szCs w:val="31"/>
        </w:rPr>
        <w:t>阿坝州既是长</w:t>
      </w:r>
      <w:r>
        <w:rPr>
          <w:rFonts w:ascii="仿宋" w:hAnsi="仿宋" w:eastAsia="仿宋" w:cs="仿宋"/>
          <w:spacing w:val="-3"/>
          <w:sz w:val="31"/>
          <w:szCs w:val="31"/>
        </w:rPr>
        <w:t>江黄河上游生态安全屏障，也是国家锂矿战略性矿产资源保障基地和优势矿产金矿的重要分布区。坚持践行“绿水青山就是</w:t>
      </w:r>
      <w:r>
        <w:rPr>
          <w:rFonts w:ascii="仿宋" w:hAnsi="仿宋" w:eastAsia="仿宋" w:cs="仿宋"/>
          <w:spacing w:val="-4"/>
          <w:sz w:val="31"/>
          <w:szCs w:val="31"/>
        </w:rPr>
        <w:t>金山银山”，科学做好“</w:t>
      </w:r>
      <w:r>
        <w:rPr>
          <w:rFonts w:ascii="仿宋" w:hAnsi="仿宋" w:eastAsia="仿宋" w:cs="仿宋"/>
          <w:spacing w:val="-114"/>
          <w:sz w:val="31"/>
          <w:szCs w:val="31"/>
        </w:rPr>
        <w:t xml:space="preserve"> </w:t>
      </w:r>
      <w:r>
        <w:rPr>
          <w:rFonts w:ascii="仿宋" w:hAnsi="仿宋" w:eastAsia="仿宋" w:cs="仿宋"/>
          <w:spacing w:val="-4"/>
          <w:sz w:val="31"/>
          <w:szCs w:val="31"/>
        </w:rPr>
        <w:t>既要绿水青山，也要金山银山”是长</w:t>
      </w:r>
      <w:r>
        <w:rPr>
          <w:rFonts w:ascii="仿宋" w:hAnsi="仿宋" w:eastAsia="仿宋" w:cs="仿宋"/>
          <w:spacing w:val="-3"/>
          <w:sz w:val="31"/>
          <w:szCs w:val="31"/>
        </w:rPr>
        <w:t>期面临的形势和挑战，加强统筹谋划，精准施策，按矿种差异化调节开发利用强度，集约节约高效利用矿产资源，促进资源</w:t>
      </w:r>
      <w:r>
        <w:rPr>
          <w:rFonts w:ascii="仿宋" w:hAnsi="仿宋" w:eastAsia="仿宋" w:cs="仿宋"/>
          <w:spacing w:val="-1"/>
          <w:sz w:val="31"/>
          <w:szCs w:val="31"/>
        </w:rPr>
        <w:t>开发与生态保护协调发展。</w:t>
      </w:r>
    </w:p>
    <w:p w14:paraId="1762FD74">
      <w:pPr>
        <w:spacing w:line="355" w:lineRule="auto"/>
        <w:rPr>
          <w:rFonts w:ascii="仿宋" w:hAnsi="仿宋" w:eastAsia="仿宋" w:cs="仿宋"/>
          <w:sz w:val="31"/>
          <w:szCs w:val="31"/>
        </w:rPr>
        <w:sectPr>
          <w:footerReference r:id="rId15" w:type="default"/>
          <w:pgSz w:w="11904" w:h="16835"/>
          <w:pgMar w:top="1430" w:right="1642" w:bottom="1289" w:left="1785" w:header="0" w:footer="923" w:gutter="0"/>
          <w:cols w:space="720" w:num="1"/>
        </w:sectPr>
      </w:pPr>
    </w:p>
    <w:p w14:paraId="7CA0E71A">
      <w:pPr>
        <w:pStyle w:val="2"/>
        <w:spacing w:before="123" w:line="344" w:lineRule="auto"/>
        <w:ind w:left="22" w:right="39" w:firstLine="633"/>
        <w:rPr>
          <w:rFonts w:ascii="仿宋" w:hAnsi="仿宋" w:eastAsia="仿宋" w:cs="仿宋"/>
          <w:sz w:val="31"/>
          <w:szCs w:val="31"/>
        </w:rPr>
      </w:pPr>
      <w:r>
        <w:rPr>
          <w:rFonts w:ascii="微软雅黑" w:hAnsi="微软雅黑" w:eastAsia="微软雅黑" w:cs="微软雅黑"/>
          <w:spacing w:val="6"/>
          <w:sz w:val="31"/>
          <w:szCs w:val="31"/>
        </w:rPr>
        <w:t>地热资源开发与旅游配套的形势需求</w:t>
      </w:r>
      <w:r>
        <w:rPr>
          <w:rFonts w:ascii="微软雅黑" w:hAnsi="微软雅黑" w:eastAsia="微软雅黑" w:cs="微软雅黑"/>
          <w:spacing w:val="-38"/>
          <w:sz w:val="31"/>
          <w:szCs w:val="31"/>
        </w:rPr>
        <w:t xml:space="preserve"> </w:t>
      </w:r>
      <w:r>
        <w:rPr>
          <w:spacing w:val="6"/>
          <w:sz w:val="31"/>
          <w:szCs w:val="31"/>
        </w:rPr>
        <w:t>.</w:t>
      </w:r>
      <w:r>
        <w:rPr>
          <w:spacing w:val="41"/>
          <w:sz w:val="31"/>
          <w:szCs w:val="31"/>
        </w:rPr>
        <w:t xml:space="preserve">  </w:t>
      </w:r>
      <w:r>
        <w:rPr>
          <w:rFonts w:ascii="仿宋" w:hAnsi="仿宋" w:eastAsia="仿宋" w:cs="仿宋"/>
          <w:spacing w:val="6"/>
          <w:sz w:val="31"/>
          <w:szCs w:val="31"/>
        </w:rPr>
        <w:t>阿坝州地热资源</w:t>
      </w:r>
      <w:r>
        <w:rPr>
          <w:rFonts w:ascii="仿宋" w:hAnsi="仿宋" w:eastAsia="仿宋" w:cs="仿宋"/>
          <w:spacing w:val="3"/>
          <w:sz w:val="31"/>
          <w:szCs w:val="31"/>
        </w:rPr>
        <w:t>潜力丰富，为</w:t>
      </w:r>
      <w:r>
        <w:rPr>
          <w:rFonts w:ascii="Times New Roman" w:hAnsi="Times New Roman" w:eastAsia="Times New Roman" w:cs="Times New Roman"/>
          <w:spacing w:val="3"/>
          <w:sz w:val="31"/>
          <w:szCs w:val="31"/>
        </w:rPr>
        <w:t>“</w:t>
      </w:r>
      <w:r>
        <w:rPr>
          <w:rFonts w:ascii="Times New Roman" w:hAnsi="Times New Roman" w:eastAsia="Times New Roman" w:cs="Times New Roman"/>
          <w:spacing w:val="-55"/>
          <w:sz w:val="31"/>
          <w:szCs w:val="31"/>
        </w:rPr>
        <w:t xml:space="preserve"> </w:t>
      </w:r>
      <w:r>
        <w:rPr>
          <w:rFonts w:ascii="仿宋" w:hAnsi="仿宋" w:eastAsia="仿宋" w:cs="仿宋"/>
          <w:spacing w:val="3"/>
          <w:sz w:val="31"/>
          <w:szCs w:val="31"/>
        </w:rPr>
        <w:t>九环线旅游发展振兴、南环线旅游完善提升、</w:t>
      </w:r>
      <w:r>
        <w:rPr>
          <w:rFonts w:ascii="仿宋" w:hAnsi="仿宋" w:eastAsia="仿宋" w:cs="仿宋"/>
          <w:spacing w:val="4"/>
          <w:sz w:val="31"/>
          <w:szCs w:val="31"/>
        </w:rPr>
        <w:t>西环线旅游培育壮大</w:t>
      </w:r>
      <w:r>
        <w:rPr>
          <w:rFonts w:ascii="Times New Roman" w:hAnsi="Times New Roman" w:eastAsia="Times New Roman" w:cs="Times New Roman"/>
          <w:spacing w:val="4"/>
          <w:sz w:val="31"/>
          <w:szCs w:val="31"/>
        </w:rPr>
        <w:t>”</w:t>
      </w:r>
      <w:r>
        <w:rPr>
          <w:rFonts w:ascii="仿宋" w:hAnsi="仿宋" w:eastAsia="仿宋" w:cs="仿宋"/>
          <w:spacing w:val="4"/>
          <w:sz w:val="31"/>
          <w:szCs w:val="31"/>
        </w:rPr>
        <w:t>行动相配套的资源开发利用潜</w:t>
      </w:r>
      <w:r>
        <w:rPr>
          <w:rFonts w:ascii="仿宋" w:hAnsi="仿宋" w:eastAsia="仿宋" w:cs="仿宋"/>
          <w:spacing w:val="3"/>
          <w:sz w:val="31"/>
          <w:szCs w:val="31"/>
        </w:rPr>
        <w:t>力较大，促进</w:t>
      </w:r>
      <w:r>
        <w:rPr>
          <w:rFonts w:ascii="仿宋" w:hAnsi="仿宋" w:eastAsia="仿宋" w:cs="仿宋"/>
          <w:spacing w:val="-99"/>
          <w:sz w:val="31"/>
          <w:szCs w:val="31"/>
        </w:rPr>
        <w:t xml:space="preserve"> </w:t>
      </w:r>
      <w:r>
        <w:rPr>
          <w:rFonts w:ascii="仿宋" w:hAnsi="仿宋" w:eastAsia="仿宋" w:cs="仿宋"/>
          <w:spacing w:val="3"/>
          <w:sz w:val="31"/>
          <w:szCs w:val="31"/>
        </w:rPr>
        <w:t>“一城三廊四带九区</w:t>
      </w:r>
      <w:r>
        <w:rPr>
          <w:rFonts w:ascii="Times New Roman" w:hAnsi="Times New Roman" w:eastAsia="Times New Roman" w:cs="Times New Roman"/>
          <w:spacing w:val="3"/>
          <w:sz w:val="31"/>
          <w:szCs w:val="31"/>
        </w:rPr>
        <w:t>”</w:t>
      </w:r>
      <w:r>
        <w:rPr>
          <w:rFonts w:ascii="仿宋" w:hAnsi="仿宋" w:eastAsia="仿宋" w:cs="仿宋"/>
          <w:spacing w:val="3"/>
          <w:sz w:val="31"/>
          <w:szCs w:val="31"/>
        </w:rPr>
        <w:t>全域旅游健康发展。</w:t>
      </w:r>
    </w:p>
    <w:p w14:paraId="53A8997B">
      <w:pPr>
        <w:spacing w:before="4" w:line="338" w:lineRule="auto"/>
        <w:ind w:left="31" w:right="39" w:firstLine="617"/>
        <w:jc w:val="both"/>
        <w:rPr>
          <w:rFonts w:ascii="仿宋" w:hAnsi="仿宋" w:eastAsia="仿宋" w:cs="仿宋"/>
          <w:sz w:val="31"/>
          <w:szCs w:val="31"/>
        </w:rPr>
      </w:pPr>
      <w:r>
        <w:rPr>
          <w:rFonts w:ascii="微软雅黑" w:hAnsi="微软雅黑" w:eastAsia="微软雅黑" w:cs="微软雅黑"/>
          <w:spacing w:val="-3"/>
          <w:sz w:val="31"/>
          <w:szCs w:val="31"/>
        </w:rPr>
        <w:t>矿业绿色发展的大势所趋。</w:t>
      </w:r>
      <w:r>
        <w:rPr>
          <w:rFonts w:ascii="仿宋" w:hAnsi="仿宋" w:eastAsia="仿宋" w:cs="仿宋"/>
          <w:spacing w:val="-3"/>
          <w:sz w:val="31"/>
          <w:szCs w:val="31"/>
        </w:rPr>
        <w:t>矿业发展结构不尽合理</w:t>
      </w:r>
      <w:r>
        <w:rPr>
          <w:rFonts w:ascii="仿宋" w:hAnsi="仿宋" w:eastAsia="仿宋" w:cs="仿宋"/>
          <w:spacing w:val="-3"/>
          <w:position w:val="-9"/>
          <w:sz w:val="31"/>
          <w:szCs w:val="31"/>
        </w:rPr>
        <w:t>，</w:t>
      </w:r>
      <w:r>
        <w:rPr>
          <w:rFonts w:ascii="仿宋" w:hAnsi="仿宋" w:eastAsia="仿宋" w:cs="仿宋"/>
          <w:spacing w:val="-3"/>
          <w:sz w:val="31"/>
          <w:szCs w:val="31"/>
        </w:rPr>
        <w:t>亟待矿业产业转型升级，积极探索州级绿色矿业发展鼓励新机制，引导矿业企业参与绿色矿山建设，促进矿业绿色发展。不断深</w:t>
      </w:r>
      <w:r>
        <w:rPr>
          <w:rFonts w:ascii="仿宋" w:hAnsi="仿宋" w:eastAsia="仿宋" w:cs="仿宋"/>
          <w:spacing w:val="-1"/>
          <w:sz w:val="31"/>
          <w:szCs w:val="31"/>
        </w:rPr>
        <w:t>化和巩固矿业企业绿色矿业发展的理念。</w:t>
      </w:r>
    </w:p>
    <w:p w14:paraId="3FE94017">
      <w:pPr>
        <w:spacing w:before="6" w:line="350" w:lineRule="auto"/>
        <w:ind w:left="25" w:firstLine="623"/>
        <w:jc w:val="both"/>
        <w:rPr>
          <w:rFonts w:ascii="仿宋" w:hAnsi="仿宋" w:eastAsia="仿宋" w:cs="仿宋"/>
          <w:sz w:val="31"/>
          <w:szCs w:val="31"/>
        </w:rPr>
      </w:pPr>
      <w:r>
        <w:rPr>
          <w:rFonts w:ascii="微软雅黑" w:hAnsi="微软雅黑" w:eastAsia="微软雅黑" w:cs="微软雅黑"/>
          <w:spacing w:val="-4"/>
          <w:sz w:val="31"/>
          <w:szCs w:val="31"/>
        </w:rPr>
        <w:t>矿政管理体制仍需改革创新。</w:t>
      </w:r>
      <w:r>
        <w:rPr>
          <w:rFonts w:ascii="仿宋" w:hAnsi="仿宋" w:eastAsia="仿宋" w:cs="仿宋"/>
          <w:spacing w:val="-4"/>
          <w:sz w:val="31"/>
          <w:szCs w:val="31"/>
        </w:rPr>
        <w:t>坚持依法行政</w:t>
      </w:r>
      <w:r>
        <w:rPr>
          <w:rFonts w:ascii="仿宋" w:hAnsi="仿宋" w:eastAsia="仿宋" w:cs="仿宋"/>
          <w:spacing w:val="-4"/>
          <w:position w:val="-9"/>
          <w:sz w:val="31"/>
          <w:szCs w:val="31"/>
        </w:rPr>
        <w:t>，</w:t>
      </w:r>
      <w:r>
        <w:rPr>
          <w:rFonts w:ascii="仿宋" w:hAnsi="仿宋" w:eastAsia="仿宋" w:cs="仿宋"/>
          <w:spacing w:val="-4"/>
          <w:sz w:val="31"/>
          <w:szCs w:val="31"/>
        </w:rPr>
        <w:t>增强主动服</w:t>
      </w:r>
      <w:r>
        <w:rPr>
          <w:rFonts w:ascii="仿宋" w:hAnsi="仿宋" w:eastAsia="仿宋" w:cs="仿宋"/>
          <w:spacing w:val="7"/>
          <w:sz w:val="31"/>
          <w:szCs w:val="31"/>
        </w:rPr>
        <w:t>务意识，推动矿业稳定开发，进一步探索</w:t>
      </w:r>
      <w:r>
        <w:rPr>
          <w:rFonts w:ascii="仿宋" w:hAnsi="仿宋" w:eastAsia="仿宋" w:cs="仿宋"/>
          <w:spacing w:val="-107"/>
          <w:sz w:val="31"/>
          <w:szCs w:val="31"/>
        </w:rPr>
        <w:t xml:space="preserve"> </w:t>
      </w:r>
      <w:r>
        <w:rPr>
          <w:rFonts w:ascii="仿宋" w:hAnsi="仿宋" w:eastAsia="仿宋" w:cs="仿宋"/>
          <w:spacing w:val="7"/>
          <w:sz w:val="31"/>
          <w:szCs w:val="31"/>
        </w:rPr>
        <w:t>“净矿出让”工作</w:t>
      </w:r>
      <w:r>
        <w:rPr>
          <w:rFonts w:ascii="仿宋" w:hAnsi="仿宋" w:eastAsia="仿宋" w:cs="仿宋"/>
          <w:spacing w:val="-1"/>
          <w:sz w:val="31"/>
          <w:szCs w:val="31"/>
        </w:rPr>
        <w:t>新模式，为有序高效开发矿业提供保障。坚持开发</w:t>
      </w:r>
      <w:r>
        <w:rPr>
          <w:rFonts w:ascii="仿宋" w:hAnsi="仿宋" w:eastAsia="仿宋" w:cs="仿宋"/>
          <w:spacing w:val="-2"/>
          <w:sz w:val="31"/>
          <w:szCs w:val="31"/>
        </w:rPr>
        <w:t>一方资源、</w:t>
      </w:r>
      <w:r>
        <w:rPr>
          <w:rFonts w:ascii="仿宋" w:hAnsi="仿宋" w:eastAsia="仿宋" w:cs="仿宋"/>
          <w:spacing w:val="9"/>
          <w:sz w:val="31"/>
          <w:szCs w:val="31"/>
        </w:rPr>
        <w:t>发展一方经济、富裕一方百姓，矿产资源实行有</w:t>
      </w:r>
      <w:r>
        <w:rPr>
          <w:rFonts w:ascii="仿宋" w:hAnsi="仿宋" w:eastAsia="仿宋" w:cs="仿宋"/>
          <w:spacing w:val="8"/>
          <w:sz w:val="31"/>
          <w:szCs w:val="31"/>
        </w:rPr>
        <w:t>偿使用，积</w:t>
      </w:r>
      <w:r>
        <w:rPr>
          <w:rFonts w:ascii="仿宋" w:hAnsi="仿宋" w:eastAsia="仿宋" w:cs="仿宋"/>
          <w:spacing w:val="9"/>
          <w:sz w:val="31"/>
          <w:szCs w:val="31"/>
        </w:rPr>
        <w:t>极探索资源开发主体与当地群众利益共享机制，</w:t>
      </w:r>
      <w:r>
        <w:rPr>
          <w:rFonts w:ascii="仿宋" w:hAnsi="仿宋" w:eastAsia="仿宋" w:cs="仿宋"/>
          <w:spacing w:val="8"/>
          <w:sz w:val="31"/>
          <w:szCs w:val="31"/>
        </w:rPr>
        <w:t>成果用于生</w:t>
      </w:r>
      <w:bookmarkStart w:id="7" w:name="bookmark7"/>
      <w:bookmarkEnd w:id="7"/>
      <w:r>
        <w:rPr>
          <w:rFonts w:ascii="仿宋" w:hAnsi="仿宋" w:eastAsia="仿宋" w:cs="仿宋"/>
          <w:spacing w:val="4"/>
          <w:sz w:val="31"/>
          <w:szCs w:val="31"/>
        </w:rPr>
        <w:t>态保护、移民后扶、</w:t>
      </w:r>
      <w:r>
        <w:rPr>
          <w:rFonts w:ascii="仿宋" w:hAnsi="仿宋" w:eastAsia="仿宋" w:cs="仿宋"/>
          <w:spacing w:val="-70"/>
          <w:sz w:val="31"/>
          <w:szCs w:val="31"/>
        </w:rPr>
        <w:t xml:space="preserve"> </w:t>
      </w:r>
      <w:r>
        <w:rPr>
          <w:rFonts w:ascii="仿宋" w:hAnsi="仿宋" w:eastAsia="仿宋" w:cs="仿宋"/>
          <w:spacing w:val="4"/>
          <w:sz w:val="31"/>
          <w:szCs w:val="31"/>
        </w:rPr>
        <w:t>乡村振兴和产业发展。</w:t>
      </w:r>
    </w:p>
    <w:p w14:paraId="462EBA50">
      <w:pPr>
        <w:spacing w:line="350" w:lineRule="auto"/>
        <w:rPr>
          <w:rFonts w:ascii="仿宋" w:hAnsi="仿宋" w:eastAsia="仿宋" w:cs="仿宋"/>
          <w:sz w:val="31"/>
          <w:szCs w:val="31"/>
        </w:rPr>
        <w:sectPr>
          <w:footerReference r:id="rId16" w:type="default"/>
          <w:pgSz w:w="11904" w:h="16835"/>
          <w:pgMar w:top="1430" w:right="1753" w:bottom="1289" w:left="1785" w:header="0" w:footer="923" w:gutter="0"/>
          <w:cols w:space="720" w:num="1"/>
        </w:sectPr>
      </w:pPr>
    </w:p>
    <w:p w14:paraId="0E499E0E">
      <w:pPr>
        <w:pStyle w:val="2"/>
        <w:spacing w:line="290" w:lineRule="auto"/>
      </w:pPr>
    </w:p>
    <w:p w14:paraId="42E00CD6">
      <w:pPr>
        <w:spacing w:before="101" w:line="226" w:lineRule="auto"/>
        <w:ind w:left="2257"/>
        <w:outlineLvl w:val="0"/>
        <w:rPr>
          <w:rFonts w:ascii="黑体" w:hAnsi="黑体" w:eastAsia="黑体" w:cs="黑体"/>
          <w:sz w:val="31"/>
          <w:szCs w:val="31"/>
        </w:rPr>
      </w:pPr>
      <w:bookmarkStart w:id="8" w:name="bookmark8"/>
      <w:bookmarkEnd w:id="8"/>
      <w:r>
        <w:rPr>
          <w:rFonts w:ascii="黑体" w:hAnsi="黑体" w:eastAsia="黑体" w:cs="黑体"/>
          <w:spacing w:val="8"/>
          <w:sz w:val="31"/>
          <w:szCs w:val="31"/>
        </w:rPr>
        <w:t>第二章  指导思想、原则与目标</w:t>
      </w:r>
    </w:p>
    <w:p w14:paraId="65D13A1C">
      <w:pPr>
        <w:pStyle w:val="2"/>
        <w:spacing w:line="381" w:lineRule="auto"/>
      </w:pPr>
    </w:p>
    <w:p w14:paraId="07A0A962">
      <w:pPr>
        <w:spacing w:before="137" w:line="321" w:lineRule="exact"/>
        <w:ind w:left="3241"/>
        <w:outlineLvl w:val="0"/>
        <w:rPr>
          <w:rFonts w:ascii="微软雅黑" w:hAnsi="微软雅黑" w:eastAsia="微软雅黑" w:cs="微软雅黑"/>
          <w:sz w:val="32"/>
          <w:szCs w:val="32"/>
        </w:rPr>
      </w:pPr>
      <w:bookmarkStart w:id="9" w:name="bookmark30"/>
      <w:bookmarkEnd w:id="9"/>
      <w:r>
        <w:rPr>
          <w:rFonts w:ascii="微软雅黑" w:hAnsi="微软雅黑" w:eastAsia="微软雅黑" w:cs="微软雅黑"/>
          <w:spacing w:val="-7"/>
          <w:w w:val="96"/>
          <w:position w:val="-2"/>
          <w:sz w:val="32"/>
          <w:szCs w:val="32"/>
        </w:rPr>
        <w:t>第</w:t>
      </w:r>
      <w:r>
        <w:rPr>
          <w:rFonts w:ascii="微软雅黑" w:hAnsi="微软雅黑" w:eastAsia="微软雅黑" w:cs="微软雅黑"/>
          <w:spacing w:val="-31"/>
          <w:position w:val="-2"/>
          <w:sz w:val="32"/>
          <w:szCs w:val="32"/>
        </w:rPr>
        <w:t xml:space="preserve"> </w:t>
      </w:r>
      <w:r>
        <w:rPr>
          <w:rFonts w:ascii="微软雅黑" w:hAnsi="微软雅黑" w:eastAsia="微软雅黑" w:cs="微软雅黑"/>
          <w:spacing w:val="-7"/>
          <w:w w:val="96"/>
          <w:position w:val="-2"/>
          <w:sz w:val="32"/>
          <w:szCs w:val="32"/>
        </w:rPr>
        <w:t>一节</w:t>
      </w:r>
      <w:r>
        <w:rPr>
          <w:rFonts w:ascii="微软雅黑" w:hAnsi="微软雅黑" w:eastAsia="微软雅黑" w:cs="微软雅黑"/>
          <w:spacing w:val="20"/>
          <w:position w:val="-2"/>
          <w:sz w:val="32"/>
          <w:szCs w:val="32"/>
        </w:rPr>
        <w:t xml:space="preserve">   </w:t>
      </w:r>
      <w:r>
        <w:rPr>
          <w:rFonts w:ascii="微软雅黑" w:hAnsi="微软雅黑" w:eastAsia="微软雅黑" w:cs="微软雅黑"/>
          <w:spacing w:val="-7"/>
          <w:w w:val="96"/>
          <w:position w:val="-2"/>
          <w:sz w:val="32"/>
          <w:szCs w:val="32"/>
        </w:rPr>
        <w:t>指导思想</w:t>
      </w:r>
    </w:p>
    <w:p w14:paraId="7E02AFA5">
      <w:pPr>
        <w:pStyle w:val="2"/>
        <w:spacing w:line="241" w:lineRule="auto"/>
      </w:pPr>
    </w:p>
    <w:p w14:paraId="7B4FAC8C">
      <w:pPr>
        <w:pStyle w:val="2"/>
        <w:spacing w:line="241" w:lineRule="auto"/>
      </w:pPr>
    </w:p>
    <w:p w14:paraId="6FDD7775">
      <w:pPr>
        <w:spacing w:before="101" w:line="372" w:lineRule="auto"/>
        <w:ind w:left="26" w:firstLine="636"/>
        <w:jc w:val="both"/>
        <w:rPr>
          <w:rFonts w:ascii="仿宋" w:hAnsi="仿宋" w:eastAsia="仿宋" w:cs="仿宋"/>
          <w:sz w:val="31"/>
          <w:szCs w:val="31"/>
        </w:rPr>
      </w:pPr>
      <w:bookmarkStart w:id="47" w:name="_GoBack"/>
      <w:bookmarkEnd w:id="47"/>
      <w:r>
        <w:rPr>
          <w:rFonts w:hint="eastAsia" w:ascii="仿宋" w:hAnsi="仿宋" w:eastAsia="仿宋" w:cs="仿宋"/>
          <w:spacing w:val="9"/>
          <w:sz w:val="31"/>
          <w:szCs w:val="31"/>
          <w:lang w:eastAsia="zh-CN"/>
        </w:rPr>
        <w:t>全面贯彻党的十九大和十九届历次全会精神</w:t>
      </w:r>
      <w:r>
        <w:rPr>
          <w:rFonts w:ascii="仿宋" w:hAnsi="仿宋" w:eastAsia="仿宋" w:cs="仿宋"/>
          <w:spacing w:val="8"/>
          <w:sz w:val="31"/>
          <w:szCs w:val="31"/>
        </w:rPr>
        <w:t>，坚持以习</w:t>
      </w:r>
      <w:r>
        <w:rPr>
          <w:rFonts w:ascii="仿宋" w:hAnsi="仿宋" w:eastAsia="仿宋" w:cs="仿宋"/>
          <w:spacing w:val="9"/>
          <w:sz w:val="31"/>
          <w:szCs w:val="31"/>
        </w:rPr>
        <w:t>近平新时代中国特色社会主义思想为指导，全</w:t>
      </w:r>
      <w:r>
        <w:rPr>
          <w:rFonts w:ascii="仿宋" w:hAnsi="仿宋" w:eastAsia="仿宋" w:cs="仿宋"/>
          <w:spacing w:val="8"/>
          <w:sz w:val="31"/>
          <w:szCs w:val="31"/>
        </w:rPr>
        <w:t>面贯彻习近平</w:t>
      </w:r>
      <w:r>
        <w:rPr>
          <w:rFonts w:ascii="仿宋" w:hAnsi="仿宋" w:eastAsia="仿宋" w:cs="仿宋"/>
          <w:spacing w:val="21"/>
          <w:sz w:val="31"/>
          <w:szCs w:val="31"/>
        </w:rPr>
        <w:t>总书记对四川工作系列重要指示精神和关于涉藏工作的重</w:t>
      </w:r>
      <w:r>
        <w:rPr>
          <w:rFonts w:ascii="仿宋" w:hAnsi="仿宋" w:eastAsia="仿宋" w:cs="仿宋"/>
          <w:spacing w:val="11"/>
          <w:sz w:val="31"/>
          <w:szCs w:val="31"/>
        </w:rPr>
        <w:t>要论述，认真践行生态</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42"/>
          <w:sz w:val="31"/>
          <w:szCs w:val="31"/>
        </w:rPr>
        <w:t xml:space="preserve"> </w:t>
      </w:r>
      <w:r>
        <w:rPr>
          <w:rFonts w:ascii="仿宋" w:hAnsi="仿宋" w:eastAsia="仿宋" w:cs="仿宋"/>
          <w:spacing w:val="11"/>
          <w:sz w:val="31"/>
          <w:szCs w:val="31"/>
        </w:rPr>
        <w:t>重在保护、要在治理、高质量发展</w:t>
      </w:r>
      <w:r>
        <w:rPr>
          <w:rFonts w:ascii="Times New Roman" w:hAnsi="Times New Roman" w:eastAsia="Times New Roman" w:cs="Times New Roman"/>
          <w:spacing w:val="11"/>
          <w:sz w:val="31"/>
          <w:szCs w:val="31"/>
        </w:rPr>
        <w:t>”</w:t>
      </w:r>
      <w:r>
        <w:rPr>
          <w:rFonts w:ascii="仿宋" w:hAnsi="仿宋" w:eastAsia="仿宋" w:cs="仿宋"/>
          <w:spacing w:val="10"/>
          <w:sz w:val="31"/>
          <w:szCs w:val="31"/>
        </w:rPr>
        <w:t>理念，深入落实新时代党的治藏方略和省委涉藏工作部署，</w:t>
      </w:r>
      <w:r>
        <w:rPr>
          <w:rFonts w:ascii="仿宋" w:hAnsi="仿宋" w:eastAsia="仿宋" w:cs="仿宋"/>
          <w:spacing w:val="9"/>
          <w:sz w:val="31"/>
          <w:szCs w:val="31"/>
        </w:rPr>
        <w:t>以长治久安和高质量发展为主题，以深化供给</w:t>
      </w:r>
      <w:r>
        <w:rPr>
          <w:rFonts w:ascii="仿宋" w:hAnsi="仿宋" w:eastAsia="仿宋" w:cs="仿宋"/>
          <w:spacing w:val="8"/>
          <w:sz w:val="31"/>
          <w:szCs w:val="31"/>
        </w:rPr>
        <w:t>侧结构性改革</w:t>
      </w:r>
      <w:r>
        <w:rPr>
          <w:rFonts w:ascii="仿宋" w:hAnsi="仿宋" w:eastAsia="仿宋" w:cs="仿宋"/>
          <w:spacing w:val="4"/>
          <w:sz w:val="31"/>
          <w:szCs w:val="31"/>
        </w:rPr>
        <w:t>为主线，</w:t>
      </w:r>
      <w:r>
        <w:rPr>
          <w:rFonts w:ascii="仿宋" w:hAnsi="仿宋" w:eastAsia="仿宋" w:cs="仿宋"/>
          <w:spacing w:val="-93"/>
          <w:sz w:val="31"/>
          <w:szCs w:val="31"/>
        </w:rPr>
        <w:t xml:space="preserve"> </w:t>
      </w:r>
      <w:r>
        <w:rPr>
          <w:rFonts w:ascii="仿宋" w:hAnsi="仿宋" w:eastAsia="仿宋" w:cs="仿宋"/>
          <w:spacing w:val="4"/>
          <w:sz w:val="31"/>
          <w:szCs w:val="31"/>
        </w:rPr>
        <w:t>以改革创新为根本动力，</w:t>
      </w:r>
      <w:r>
        <w:rPr>
          <w:rFonts w:ascii="仿宋" w:hAnsi="仿宋" w:eastAsia="仿宋" w:cs="仿宋"/>
          <w:spacing w:val="-93"/>
          <w:sz w:val="31"/>
          <w:szCs w:val="31"/>
        </w:rPr>
        <w:t xml:space="preserve"> </w:t>
      </w:r>
      <w:r>
        <w:rPr>
          <w:rFonts w:ascii="仿宋" w:hAnsi="仿宋" w:eastAsia="仿宋" w:cs="仿宋"/>
          <w:spacing w:val="4"/>
          <w:sz w:val="31"/>
          <w:szCs w:val="31"/>
        </w:rPr>
        <w:t>以满足人民日益增长的美</w:t>
      </w:r>
      <w:r>
        <w:rPr>
          <w:rFonts w:ascii="仿宋" w:hAnsi="仿宋" w:eastAsia="仿宋" w:cs="仿宋"/>
          <w:spacing w:val="2"/>
          <w:sz w:val="31"/>
          <w:szCs w:val="31"/>
        </w:rPr>
        <w:t>好生活需要为根本目的，紧扣</w:t>
      </w:r>
      <w:r>
        <w:rPr>
          <w:rFonts w:ascii="Times New Roman" w:hAnsi="Times New Roman" w:eastAsia="Times New Roman" w:cs="Times New Roman"/>
          <w:spacing w:val="2"/>
          <w:sz w:val="31"/>
          <w:szCs w:val="31"/>
        </w:rPr>
        <w:t>“</w:t>
      </w:r>
      <w:r>
        <w:rPr>
          <w:rFonts w:ascii="Times New Roman" w:hAnsi="Times New Roman" w:eastAsia="Times New Roman" w:cs="Times New Roman"/>
          <w:spacing w:val="-41"/>
          <w:sz w:val="31"/>
          <w:szCs w:val="31"/>
        </w:rPr>
        <w:t xml:space="preserve"> </w:t>
      </w:r>
      <w:r>
        <w:rPr>
          <w:rFonts w:ascii="仿宋" w:hAnsi="仿宋" w:eastAsia="仿宋" w:cs="仿宋"/>
          <w:spacing w:val="2"/>
          <w:sz w:val="31"/>
          <w:szCs w:val="31"/>
        </w:rPr>
        <w:t>生态、发展、民生、稳定、作</w:t>
      </w:r>
      <w:r>
        <w:rPr>
          <w:rFonts w:ascii="仿宋" w:hAnsi="仿宋" w:eastAsia="仿宋" w:cs="仿宋"/>
          <w:spacing w:val="13"/>
          <w:sz w:val="31"/>
          <w:szCs w:val="31"/>
        </w:rPr>
        <w:t>风</w:t>
      </w:r>
      <w:r>
        <w:rPr>
          <w:rFonts w:ascii="Times New Roman" w:hAnsi="Times New Roman" w:eastAsia="Times New Roman" w:cs="Times New Roman"/>
          <w:spacing w:val="13"/>
          <w:sz w:val="31"/>
          <w:szCs w:val="31"/>
        </w:rPr>
        <w:t>”</w:t>
      </w:r>
      <w:r>
        <w:rPr>
          <w:rFonts w:ascii="仿宋" w:hAnsi="仿宋" w:eastAsia="仿宋" w:cs="仿宋"/>
          <w:spacing w:val="13"/>
          <w:sz w:val="31"/>
          <w:szCs w:val="31"/>
        </w:rPr>
        <w:t>五个关键，坚定实施</w:t>
      </w:r>
      <w:r>
        <w:rPr>
          <w:rFonts w:ascii="Times New Roman" w:hAnsi="Times New Roman" w:eastAsia="Times New Roman" w:cs="Times New Roman"/>
          <w:spacing w:val="13"/>
          <w:sz w:val="31"/>
          <w:szCs w:val="31"/>
        </w:rPr>
        <w:t>“</w:t>
      </w:r>
      <w:r>
        <w:rPr>
          <w:rFonts w:ascii="Times New Roman" w:hAnsi="Times New Roman" w:eastAsia="Times New Roman" w:cs="Times New Roman"/>
          <w:spacing w:val="-32"/>
          <w:sz w:val="31"/>
          <w:szCs w:val="31"/>
        </w:rPr>
        <w:t xml:space="preserve"> </w:t>
      </w:r>
      <w:r>
        <w:rPr>
          <w:rFonts w:ascii="仿宋" w:hAnsi="仿宋" w:eastAsia="仿宋" w:cs="仿宋"/>
          <w:spacing w:val="13"/>
          <w:sz w:val="31"/>
          <w:szCs w:val="31"/>
        </w:rPr>
        <w:t>一州两区三家园</w:t>
      </w:r>
      <w:r>
        <w:rPr>
          <w:rFonts w:ascii="Times New Roman" w:hAnsi="Times New Roman" w:eastAsia="Times New Roman" w:cs="Times New Roman"/>
          <w:spacing w:val="13"/>
          <w:sz w:val="31"/>
          <w:szCs w:val="31"/>
        </w:rPr>
        <w:t>”</w:t>
      </w:r>
      <w:r>
        <w:rPr>
          <w:rFonts w:ascii="Times New Roman" w:hAnsi="Times New Roman" w:eastAsia="Times New Roman" w:cs="Times New Roman"/>
          <w:spacing w:val="-36"/>
          <w:sz w:val="31"/>
          <w:szCs w:val="31"/>
        </w:rPr>
        <w:t xml:space="preserve"> </w:t>
      </w:r>
      <w:r>
        <w:rPr>
          <w:rFonts w:ascii="仿宋" w:hAnsi="仿宋" w:eastAsia="仿宋" w:cs="仿宋"/>
          <w:spacing w:val="13"/>
          <w:sz w:val="31"/>
          <w:szCs w:val="31"/>
        </w:rPr>
        <w:t>战略新目</w:t>
      </w:r>
      <w:r>
        <w:rPr>
          <w:rFonts w:ascii="仿宋" w:hAnsi="仿宋" w:eastAsia="仿宋" w:cs="仿宋"/>
          <w:spacing w:val="12"/>
          <w:sz w:val="31"/>
          <w:szCs w:val="31"/>
        </w:rPr>
        <w:t>标，全</w:t>
      </w:r>
      <w:r>
        <w:rPr>
          <w:rFonts w:ascii="仿宋" w:hAnsi="仿宋" w:eastAsia="仿宋" w:cs="仿宋"/>
          <w:spacing w:val="9"/>
          <w:sz w:val="31"/>
          <w:szCs w:val="31"/>
        </w:rPr>
        <w:t>面统筹矿产资源勘查、开发利用和保护活动，</w:t>
      </w:r>
      <w:r>
        <w:rPr>
          <w:rFonts w:ascii="仿宋" w:hAnsi="仿宋" w:eastAsia="仿宋" w:cs="仿宋"/>
          <w:spacing w:val="8"/>
          <w:sz w:val="31"/>
          <w:szCs w:val="31"/>
        </w:rPr>
        <w:t>推动矿业绿色</w:t>
      </w:r>
      <w:r>
        <w:rPr>
          <w:rFonts w:ascii="仿宋" w:hAnsi="仿宋" w:eastAsia="仿宋" w:cs="仿宋"/>
          <w:spacing w:val="9"/>
          <w:sz w:val="31"/>
          <w:szCs w:val="31"/>
        </w:rPr>
        <w:t>发展，实现资源效益、经济效益、社会效益、</w:t>
      </w:r>
      <w:r>
        <w:rPr>
          <w:rFonts w:ascii="仿宋" w:hAnsi="仿宋" w:eastAsia="仿宋" w:cs="仿宋"/>
          <w:spacing w:val="8"/>
          <w:sz w:val="31"/>
          <w:szCs w:val="31"/>
        </w:rPr>
        <w:t>生态效益的协</w:t>
      </w:r>
      <w:bookmarkStart w:id="10" w:name="bookmark9"/>
      <w:bookmarkEnd w:id="10"/>
      <w:r>
        <w:rPr>
          <w:rFonts w:ascii="仿宋" w:hAnsi="仿宋" w:eastAsia="仿宋" w:cs="仿宋"/>
          <w:spacing w:val="3"/>
          <w:sz w:val="31"/>
          <w:szCs w:val="31"/>
        </w:rPr>
        <w:t>调发展。</w:t>
      </w:r>
    </w:p>
    <w:p w14:paraId="4C962453">
      <w:pPr>
        <w:spacing w:before="264" w:line="320" w:lineRule="exact"/>
        <w:ind w:left="3239"/>
        <w:outlineLvl w:val="0"/>
        <w:rPr>
          <w:rFonts w:ascii="微软雅黑" w:hAnsi="微软雅黑" w:eastAsia="微软雅黑" w:cs="微软雅黑"/>
          <w:sz w:val="30"/>
          <w:szCs w:val="30"/>
        </w:rPr>
      </w:pPr>
      <w:bookmarkStart w:id="11" w:name="bookmark31"/>
      <w:bookmarkEnd w:id="11"/>
      <w:r>
        <w:rPr>
          <w:rFonts w:ascii="微软雅黑" w:hAnsi="微软雅黑" w:eastAsia="微软雅黑" w:cs="微软雅黑"/>
          <w:spacing w:val="6"/>
          <w:position w:val="-1"/>
          <w:sz w:val="30"/>
          <w:szCs w:val="30"/>
        </w:rPr>
        <w:t>第二节</w:t>
      </w:r>
      <w:r>
        <w:rPr>
          <w:rFonts w:ascii="微软雅黑" w:hAnsi="微软雅黑" w:eastAsia="微软雅黑" w:cs="微软雅黑"/>
          <w:spacing w:val="21"/>
          <w:position w:val="-1"/>
          <w:sz w:val="30"/>
          <w:szCs w:val="30"/>
        </w:rPr>
        <w:t xml:space="preserve">   </w:t>
      </w:r>
      <w:r>
        <w:rPr>
          <w:rFonts w:ascii="微软雅黑" w:hAnsi="微软雅黑" w:eastAsia="微软雅黑" w:cs="微软雅黑"/>
          <w:spacing w:val="6"/>
          <w:position w:val="-1"/>
          <w:sz w:val="30"/>
          <w:szCs w:val="30"/>
        </w:rPr>
        <w:t>基本原则</w:t>
      </w:r>
    </w:p>
    <w:p w14:paraId="4F65E15E">
      <w:pPr>
        <w:pStyle w:val="2"/>
        <w:spacing w:line="439" w:lineRule="auto"/>
      </w:pPr>
    </w:p>
    <w:p w14:paraId="5B188FEF">
      <w:pPr>
        <w:pStyle w:val="2"/>
        <w:spacing w:before="133" w:line="347" w:lineRule="auto"/>
        <w:ind w:left="26" w:right="69" w:firstLine="634"/>
        <w:rPr>
          <w:rFonts w:ascii="仿宋" w:hAnsi="仿宋" w:eastAsia="仿宋" w:cs="仿宋"/>
          <w:sz w:val="31"/>
          <w:szCs w:val="31"/>
        </w:rPr>
      </w:pPr>
      <w:r>
        <w:rPr>
          <w:rFonts w:ascii="微软雅黑" w:hAnsi="微软雅黑" w:eastAsia="微软雅黑" w:cs="微软雅黑"/>
          <w:spacing w:val="4"/>
          <w:sz w:val="31"/>
          <w:szCs w:val="31"/>
        </w:rPr>
        <w:t>加快转型</w:t>
      </w:r>
      <w:r>
        <w:rPr>
          <w:rFonts w:ascii="微软雅黑" w:hAnsi="微软雅黑" w:eastAsia="微软雅黑" w:cs="微软雅黑"/>
          <w:spacing w:val="-21"/>
          <w:sz w:val="31"/>
          <w:szCs w:val="31"/>
        </w:rPr>
        <w:t xml:space="preserve"> </w:t>
      </w:r>
      <w:r>
        <w:rPr>
          <w:spacing w:val="4"/>
          <w:sz w:val="31"/>
          <w:szCs w:val="31"/>
        </w:rPr>
        <w:t>,</w:t>
      </w:r>
      <w:r>
        <w:rPr>
          <w:spacing w:val="29"/>
          <w:sz w:val="31"/>
          <w:szCs w:val="31"/>
        </w:rPr>
        <w:t xml:space="preserve">  </w:t>
      </w:r>
      <w:r>
        <w:rPr>
          <w:rFonts w:ascii="微软雅黑" w:hAnsi="微软雅黑" w:eastAsia="微软雅黑" w:cs="微软雅黑"/>
          <w:spacing w:val="4"/>
          <w:sz w:val="31"/>
          <w:szCs w:val="31"/>
        </w:rPr>
        <w:t>推进矿业绿色发展</w:t>
      </w:r>
      <w:r>
        <w:rPr>
          <w:spacing w:val="4"/>
          <w:sz w:val="31"/>
          <w:szCs w:val="31"/>
        </w:rPr>
        <w:t>.</w:t>
      </w:r>
      <w:r>
        <w:rPr>
          <w:spacing w:val="36"/>
          <w:sz w:val="31"/>
          <w:szCs w:val="31"/>
        </w:rPr>
        <w:t xml:space="preserve">  </w:t>
      </w:r>
      <w:r>
        <w:rPr>
          <w:rFonts w:ascii="仿宋" w:hAnsi="仿宋" w:eastAsia="仿宋" w:cs="仿宋"/>
          <w:spacing w:val="4"/>
          <w:sz w:val="31"/>
          <w:szCs w:val="31"/>
        </w:rPr>
        <w:t>坚持生态优先</w:t>
      </w:r>
      <w:r>
        <w:rPr>
          <w:rFonts w:ascii="仿宋" w:hAnsi="仿宋" w:eastAsia="仿宋" w:cs="仿宋"/>
          <w:spacing w:val="4"/>
          <w:position w:val="-9"/>
          <w:sz w:val="31"/>
          <w:szCs w:val="31"/>
        </w:rPr>
        <w:t>，</w:t>
      </w:r>
      <w:r>
        <w:rPr>
          <w:rFonts w:ascii="仿宋" w:hAnsi="仿宋" w:eastAsia="仿宋" w:cs="仿宋"/>
          <w:spacing w:val="4"/>
          <w:sz w:val="31"/>
          <w:szCs w:val="31"/>
        </w:rPr>
        <w:t>充分尊</w:t>
      </w:r>
      <w:r>
        <w:rPr>
          <w:rFonts w:ascii="仿宋" w:hAnsi="仿宋" w:eastAsia="仿宋" w:cs="仿宋"/>
          <w:spacing w:val="9"/>
          <w:sz w:val="31"/>
          <w:szCs w:val="31"/>
        </w:rPr>
        <w:t>重群众意愿，促进资源开发与环境保护和社会</w:t>
      </w:r>
      <w:r>
        <w:rPr>
          <w:rFonts w:ascii="仿宋" w:hAnsi="仿宋" w:eastAsia="仿宋" w:cs="仿宋"/>
          <w:spacing w:val="8"/>
          <w:sz w:val="31"/>
          <w:szCs w:val="31"/>
        </w:rPr>
        <w:t>稳定相协调。</w:t>
      </w:r>
      <w:r>
        <w:rPr>
          <w:rFonts w:ascii="仿宋" w:hAnsi="仿宋" w:eastAsia="仿宋" w:cs="仿宋"/>
          <w:spacing w:val="9"/>
          <w:sz w:val="31"/>
          <w:szCs w:val="31"/>
        </w:rPr>
        <w:t>加快发展绿色矿业，采用先进的勘查、开采及</w:t>
      </w:r>
      <w:r>
        <w:rPr>
          <w:rFonts w:ascii="仿宋" w:hAnsi="仿宋" w:eastAsia="仿宋" w:cs="仿宋"/>
          <w:spacing w:val="8"/>
          <w:sz w:val="31"/>
          <w:szCs w:val="31"/>
        </w:rPr>
        <w:t>选矿工艺，提</w:t>
      </w:r>
      <w:r>
        <w:rPr>
          <w:rFonts w:ascii="仿宋" w:hAnsi="仿宋" w:eastAsia="仿宋" w:cs="仿宋"/>
          <w:spacing w:val="9"/>
          <w:sz w:val="31"/>
          <w:szCs w:val="31"/>
        </w:rPr>
        <w:t>高采选率和综合利用率，促进实现资源开发、</w:t>
      </w:r>
      <w:r>
        <w:rPr>
          <w:rFonts w:ascii="仿宋" w:hAnsi="仿宋" w:eastAsia="仿宋" w:cs="仿宋"/>
          <w:spacing w:val="8"/>
          <w:sz w:val="31"/>
          <w:szCs w:val="31"/>
        </w:rPr>
        <w:t>利用与环境保护和民生改善共赢，实现社会稳定协调发展。</w:t>
      </w:r>
    </w:p>
    <w:p w14:paraId="0F12C930">
      <w:pPr>
        <w:spacing w:line="347" w:lineRule="auto"/>
        <w:rPr>
          <w:rFonts w:ascii="仿宋" w:hAnsi="仿宋" w:eastAsia="仿宋" w:cs="仿宋"/>
          <w:sz w:val="31"/>
          <w:szCs w:val="31"/>
        </w:rPr>
        <w:sectPr>
          <w:footerReference r:id="rId17" w:type="default"/>
          <w:pgSz w:w="11904" w:h="16835"/>
          <w:pgMar w:top="1430" w:right="1732" w:bottom="1289" w:left="1785" w:header="0" w:footer="920" w:gutter="0"/>
          <w:cols w:space="720" w:num="1"/>
        </w:sectPr>
      </w:pPr>
    </w:p>
    <w:p w14:paraId="08C1B6A4">
      <w:pPr>
        <w:pStyle w:val="2"/>
        <w:spacing w:before="125" w:line="337" w:lineRule="auto"/>
        <w:ind w:left="22" w:right="16" w:firstLine="639"/>
        <w:jc w:val="both"/>
        <w:rPr>
          <w:rFonts w:ascii="仿宋" w:hAnsi="仿宋" w:eastAsia="仿宋" w:cs="仿宋"/>
          <w:sz w:val="31"/>
          <w:szCs w:val="31"/>
        </w:rPr>
      </w:pPr>
      <w:r>
        <w:rPr>
          <w:rFonts w:ascii="微软雅黑" w:hAnsi="微软雅黑" w:eastAsia="微软雅黑" w:cs="微软雅黑"/>
          <w:spacing w:val="4"/>
          <w:sz w:val="31"/>
          <w:szCs w:val="31"/>
        </w:rPr>
        <w:t>优化布局</w:t>
      </w:r>
      <w:r>
        <w:rPr>
          <w:rFonts w:ascii="微软雅黑" w:hAnsi="微软雅黑" w:eastAsia="微软雅黑" w:cs="微软雅黑"/>
          <w:spacing w:val="-6"/>
          <w:sz w:val="31"/>
          <w:szCs w:val="31"/>
        </w:rPr>
        <w:t xml:space="preserve"> </w:t>
      </w:r>
      <w:r>
        <w:rPr>
          <w:spacing w:val="4"/>
          <w:sz w:val="31"/>
          <w:szCs w:val="31"/>
        </w:rPr>
        <w:t>,</w:t>
      </w:r>
      <w:r>
        <w:rPr>
          <w:spacing w:val="29"/>
          <w:sz w:val="31"/>
          <w:szCs w:val="31"/>
        </w:rPr>
        <w:t xml:space="preserve">  </w:t>
      </w:r>
      <w:r>
        <w:rPr>
          <w:rFonts w:ascii="微软雅黑" w:hAnsi="微软雅黑" w:eastAsia="微软雅黑" w:cs="微软雅黑"/>
          <w:spacing w:val="4"/>
          <w:sz w:val="31"/>
          <w:szCs w:val="31"/>
        </w:rPr>
        <w:t>促进矿业协调发展</w:t>
      </w:r>
      <w:r>
        <w:rPr>
          <w:rFonts w:ascii="仿宋" w:hAnsi="仿宋" w:eastAsia="仿宋" w:cs="仿宋"/>
          <w:spacing w:val="4"/>
          <w:position w:val="-10"/>
          <w:sz w:val="31"/>
          <w:szCs w:val="31"/>
        </w:rPr>
        <w:t>。</w:t>
      </w:r>
      <w:r>
        <w:rPr>
          <w:rFonts w:ascii="仿宋" w:hAnsi="仿宋" w:eastAsia="仿宋" w:cs="仿宋"/>
          <w:spacing w:val="4"/>
          <w:sz w:val="31"/>
          <w:szCs w:val="31"/>
        </w:rPr>
        <w:t>统筹安排矿产勘查开发</w:t>
      </w:r>
      <w:r>
        <w:rPr>
          <w:rFonts w:ascii="仿宋" w:hAnsi="仿宋" w:eastAsia="仿宋" w:cs="仿宋"/>
          <w:spacing w:val="9"/>
          <w:sz w:val="31"/>
          <w:szCs w:val="31"/>
        </w:rPr>
        <w:t>及锂产业的布局、时序，坚持资源就地转化原则，推进</w:t>
      </w:r>
      <w:r>
        <w:rPr>
          <w:rFonts w:ascii="仿宋" w:hAnsi="仿宋" w:eastAsia="仿宋" w:cs="仿宋"/>
          <w:spacing w:val="8"/>
          <w:sz w:val="31"/>
          <w:szCs w:val="31"/>
        </w:rPr>
        <w:t>资源</w:t>
      </w:r>
      <w:r>
        <w:rPr>
          <w:rFonts w:ascii="仿宋" w:hAnsi="仿宋" w:eastAsia="仿宋" w:cs="仿宋"/>
          <w:spacing w:val="9"/>
          <w:sz w:val="31"/>
          <w:szCs w:val="31"/>
        </w:rPr>
        <w:t>开发与区域发展，产业升级、环境保护、城乡建设与村</w:t>
      </w:r>
      <w:r>
        <w:rPr>
          <w:rFonts w:ascii="仿宋" w:hAnsi="仿宋" w:eastAsia="仿宋" w:cs="仿宋"/>
          <w:spacing w:val="8"/>
          <w:sz w:val="31"/>
          <w:szCs w:val="31"/>
        </w:rPr>
        <w:t>寨保</w:t>
      </w:r>
      <w:r>
        <w:rPr>
          <w:rFonts w:ascii="仿宋" w:hAnsi="仿宋" w:eastAsia="仿宋" w:cs="仿宋"/>
          <w:spacing w:val="9"/>
          <w:sz w:val="31"/>
          <w:szCs w:val="31"/>
        </w:rPr>
        <w:t>护相协调，形成协调有序的矿业开发利用与保护新格</w:t>
      </w:r>
      <w:r>
        <w:rPr>
          <w:rFonts w:ascii="仿宋" w:hAnsi="仿宋" w:eastAsia="仿宋" w:cs="仿宋"/>
          <w:spacing w:val="8"/>
          <w:sz w:val="31"/>
          <w:szCs w:val="31"/>
        </w:rPr>
        <w:t>局。</w:t>
      </w:r>
    </w:p>
    <w:p w14:paraId="2093B88C">
      <w:pPr>
        <w:pStyle w:val="2"/>
        <w:spacing w:line="346" w:lineRule="auto"/>
        <w:ind w:left="26" w:right="16" w:firstLine="662"/>
        <w:jc w:val="both"/>
        <w:rPr>
          <w:rFonts w:ascii="仿宋" w:hAnsi="仿宋" w:eastAsia="仿宋" w:cs="仿宋"/>
          <w:sz w:val="31"/>
          <w:szCs w:val="31"/>
        </w:rPr>
      </w:pPr>
      <w:r>
        <w:rPr>
          <w:rFonts w:ascii="微软雅黑" w:hAnsi="微软雅黑" w:eastAsia="微软雅黑" w:cs="微软雅黑"/>
          <w:spacing w:val="1"/>
          <w:sz w:val="31"/>
          <w:szCs w:val="31"/>
        </w:rPr>
        <w:t>改革创新</w:t>
      </w:r>
      <w:r>
        <w:rPr>
          <w:rFonts w:ascii="微软雅黑" w:hAnsi="微软雅黑" w:eastAsia="微软雅黑" w:cs="微软雅黑"/>
          <w:spacing w:val="-45"/>
          <w:sz w:val="31"/>
          <w:szCs w:val="31"/>
        </w:rPr>
        <w:t xml:space="preserve"> </w:t>
      </w:r>
      <w:r>
        <w:rPr>
          <w:spacing w:val="1"/>
          <w:sz w:val="31"/>
          <w:szCs w:val="31"/>
        </w:rPr>
        <w:t>,</w:t>
      </w:r>
      <w:r>
        <w:rPr>
          <w:spacing w:val="23"/>
          <w:sz w:val="31"/>
          <w:szCs w:val="31"/>
        </w:rPr>
        <w:t xml:space="preserve">  </w:t>
      </w:r>
      <w:r>
        <w:rPr>
          <w:rFonts w:ascii="微软雅黑" w:hAnsi="微软雅黑" w:eastAsia="微软雅黑" w:cs="微软雅黑"/>
          <w:spacing w:val="1"/>
          <w:sz w:val="31"/>
          <w:szCs w:val="31"/>
        </w:rPr>
        <w:t>增强矿业发展动力</w:t>
      </w:r>
      <w:r>
        <w:rPr>
          <w:rFonts w:ascii="微软雅黑" w:hAnsi="微软雅黑" w:eastAsia="微软雅黑" w:cs="微软雅黑"/>
          <w:spacing w:val="-28"/>
          <w:sz w:val="31"/>
          <w:szCs w:val="31"/>
        </w:rPr>
        <w:t xml:space="preserve"> </w:t>
      </w:r>
      <w:r>
        <w:rPr>
          <w:spacing w:val="1"/>
          <w:sz w:val="31"/>
          <w:szCs w:val="31"/>
        </w:rPr>
        <w:t xml:space="preserve">.   </w:t>
      </w:r>
      <w:r>
        <w:rPr>
          <w:rFonts w:ascii="仿宋" w:hAnsi="仿宋" w:eastAsia="仿宋" w:cs="仿宋"/>
          <w:spacing w:val="1"/>
          <w:sz w:val="31"/>
          <w:szCs w:val="31"/>
        </w:rPr>
        <w:t>以体制</w:t>
      </w:r>
      <w:r>
        <w:rPr>
          <w:rFonts w:ascii="仿宋" w:hAnsi="仿宋" w:eastAsia="仿宋" w:cs="仿宋"/>
          <w:spacing w:val="1"/>
          <w:position w:val="-8"/>
          <w:sz w:val="31"/>
          <w:szCs w:val="31"/>
        </w:rPr>
        <w:t>、</w:t>
      </w:r>
      <w:r>
        <w:rPr>
          <w:rFonts w:ascii="仿宋" w:hAnsi="仿宋" w:eastAsia="仿宋" w:cs="仿宋"/>
          <w:spacing w:val="1"/>
          <w:sz w:val="31"/>
          <w:szCs w:val="31"/>
        </w:rPr>
        <w:t>机制</w:t>
      </w:r>
      <w:r>
        <w:rPr>
          <w:rFonts w:ascii="仿宋" w:hAnsi="仿宋" w:eastAsia="仿宋" w:cs="仿宋"/>
          <w:spacing w:val="1"/>
          <w:position w:val="-8"/>
          <w:sz w:val="31"/>
          <w:szCs w:val="31"/>
        </w:rPr>
        <w:t>、</w:t>
      </w:r>
      <w:r>
        <w:rPr>
          <w:rFonts w:ascii="仿宋" w:hAnsi="仿宋" w:eastAsia="仿宋" w:cs="仿宋"/>
          <w:spacing w:val="1"/>
          <w:sz w:val="31"/>
          <w:szCs w:val="31"/>
        </w:rPr>
        <w:t>技术创</w:t>
      </w:r>
      <w:r>
        <w:rPr>
          <w:rFonts w:ascii="仿宋" w:hAnsi="仿宋" w:eastAsia="仿宋" w:cs="仿宋"/>
          <w:spacing w:val="9"/>
          <w:sz w:val="31"/>
          <w:szCs w:val="31"/>
        </w:rPr>
        <w:t>新为动力，不断优化行政审批制度，充分发挥</w:t>
      </w:r>
      <w:r>
        <w:rPr>
          <w:rFonts w:ascii="仿宋" w:hAnsi="仿宋" w:eastAsia="仿宋" w:cs="仿宋"/>
          <w:spacing w:val="8"/>
          <w:sz w:val="31"/>
          <w:szCs w:val="31"/>
        </w:rPr>
        <w:t>市场在资源配</w:t>
      </w:r>
      <w:r>
        <w:rPr>
          <w:rFonts w:ascii="仿宋" w:hAnsi="仿宋" w:eastAsia="仿宋" w:cs="仿宋"/>
          <w:spacing w:val="9"/>
          <w:sz w:val="31"/>
          <w:szCs w:val="31"/>
        </w:rPr>
        <w:t>置中的决定性作用，增强锂产业发展的活力和</w:t>
      </w:r>
      <w:r>
        <w:rPr>
          <w:rFonts w:ascii="仿宋" w:hAnsi="仿宋" w:eastAsia="仿宋" w:cs="仿宋"/>
          <w:spacing w:val="8"/>
          <w:sz w:val="31"/>
          <w:szCs w:val="31"/>
        </w:rPr>
        <w:t>竞争力。延长</w:t>
      </w:r>
      <w:r>
        <w:rPr>
          <w:rFonts w:ascii="仿宋" w:hAnsi="仿宋" w:eastAsia="仿宋" w:cs="仿宋"/>
          <w:spacing w:val="9"/>
          <w:sz w:val="31"/>
          <w:szCs w:val="31"/>
        </w:rPr>
        <w:t>产业链，强化高附加值，实现矿产资源开发利</w:t>
      </w:r>
      <w:r>
        <w:rPr>
          <w:rFonts w:ascii="仿宋" w:hAnsi="仿宋" w:eastAsia="仿宋" w:cs="仿宋"/>
          <w:spacing w:val="8"/>
          <w:sz w:val="31"/>
          <w:szCs w:val="31"/>
        </w:rPr>
        <w:t>用价值的最大</w:t>
      </w:r>
      <w:r>
        <w:rPr>
          <w:rFonts w:ascii="仿宋" w:hAnsi="仿宋" w:eastAsia="仿宋" w:cs="仿宋"/>
          <w:spacing w:val="-3"/>
          <w:sz w:val="31"/>
          <w:szCs w:val="31"/>
        </w:rPr>
        <w:t>化。</w:t>
      </w:r>
    </w:p>
    <w:p w14:paraId="6755BCD6">
      <w:pPr>
        <w:pStyle w:val="2"/>
        <w:spacing w:line="344" w:lineRule="auto"/>
        <w:ind w:left="31" w:right="16" w:firstLine="636"/>
        <w:jc w:val="both"/>
        <w:rPr>
          <w:rFonts w:ascii="仿宋" w:hAnsi="仿宋" w:eastAsia="仿宋" w:cs="仿宋"/>
          <w:sz w:val="31"/>
          <w:szCs w:val="31"/>
        </w:rPr>
      </w:pPr>
      <w:r>
        <w:rPr>
          <w:rFonts w:ascii="微软雅黑" w:hAnsi="微软雅黑" w:eastAsia="微软雅黑" w:cs="微软雅黑"/>
          <w:spacing w:val="2"/>
          <w:sz w:val="31"/>
          <w:szCs w:val="31"/>
        </w:rPr>
        <w:t>互利共赢</w:t>
      </w:r>
      <w:r>
        <w:rPr>
          <w:rFonts w:ascii="微软雅黑" w:hAnsi="微软雅黑" w:eastAsia="微软雅黑" w:cs="微软雅黑"/>
          <w:spacing w:val="-39"/>
          <w:sz w:val="31"/>
          <w:szCs w:val="31"/>
        </w:rPr>
        <w:t xml:space="preserve"> </w:t>
      </w:r>
      <w:r>
        <w:rPr>
          <w:spacing w:val="2"/>
          <w:sz w:val="31"/>
          <w:szCs w:val="31"/>
        </w:rPr>
        <w:t>,</w:t>
      </w:r>
      <w:r>
        <w:rPr>
          <w:spacing w:val="27"/>
          <w:sz w:val="31"/>
          <w:szCs w:val="31"/>
        </w:rPr>
        <w:t xml:space="preserve">  </w:t>
      </w:r>
      <w:r>
        <w:rPr>
          <w:rFonts w:ascii="微软雅黑" w:hAnsi="微软雅黑" w:eastAsia="微软雅黑" w:cs="微软雅黑"/>
          <w:spacing w:val="2"/>
          <w:sz w:val="31"/>
          <w:szCs w:val="31"/>
        </w:rPr>
        <w:t>构建锂产业双循环格局</w:t>
      </w:r>
      <w:r>
        <w:rPr>
          <w:rFonts w:ascii="微软雅黑" w:hAnsi="微软雅黑" w:eastAsia="微软雅黑" w:cs="微软雅黑"/>
          <w:spacing w:val="-31"/>
          <w:sz w:val="31"/>
          <w:szCs w:val="31"/>
        </w:rPr>
        <w:t xml:space="preserve"> </w:t>
      </w:r>
      <w:r>
        <w:rPr>
          <w:spacing w:val="2"/>
          <w:sz w:val="31"/>
          <w:szCs w:val="31"/>
        </w:rPr>
        <w:t>.</w:t>
      </w:r>
      <w:r>
        <w:rPr>
          <w:spacing w:val="32"/>
          <w:w w:val="101"/>
          <w:sz w:val="31"/>
          <w:szCs w:val="31"/>
        </w:rPr>
        <w:t xml:space="preserve">  </w:t>
      </w:r>
      <w:r>
        <w:rPr>
          <w:rFonts w:ascii="仿宋" w:hAnsi="仿宋" w:eastAsia="仿宋" w:cs="仿宋"/>
          <w:spacing w:val="2"/>
          <w:sz w:val="31"/>
          <w:szCs w:val="31"/>
        </w:rPr>
        <w:t>把握好国家战略性</w:t>
      </w:r>
      <w:r>
        <w:rPr>
          <w:rFonts w:ascii="仿宋" w:hAnsi="仿宋" w:eastAsia="仿宋" w:cs="仿宋"/>
          <w:spacing w:val="8"/>
          <w:sz w:val="31"/>
          <w:szCs w:val="31"/>
        </w:rPr>
        <w:t>新兴产业建设、新能源汽车发展建设等机遇，发挥锂矿资源的资源优势，扩大和深入推进阿坝州与国内外的锂产业上下游企业合作，构建锂资源产业内外双循环发展的新格局。</w:t>
      </w:r>
    </w:p>
    <w:p w14:paraId="7284020F">
      <w:pPr>
        <w:pStyle w:val="2"/>
        <w:spacing w:before="1" w:line="351" w:lineRule="auto"/>
        <w:ind w:left="26" w:right="16" w:firstLine="649"/>
        <w:jc w:val="both"/>
        <w:rPr>
          <w:rFonts w:ascii="仿宋" w:hAnsi="仿宋" w:eastAsia="仿宋" w:cs="仿宋"/>
          <w:sz w:val="31"/>
          <w:szCs w:val="31"/>
        </w:rPr>
      </w:pPr>
      <w:r>
        <w:rPr>
          <w:rFonts w:ascii="微软雅黑" w:hAnsi="微软雅黑" w:eastAsia="微软雅黑" w:cs="微软雅黑"/>
          <w:spacing w:val="1"/>
          <w:sz w:val="31"/>
          <w:szCs w:val="31"/>
        </w:rPr>
        <w:t>资源惠民</w:t>
      </w:r>
      <w:r>
        <w:rPr>
          <w:rFonts w:ascii="微软雅黑" w:hAnsi="微软雅黑" w:eastAsia="微软雅黑" w:cs="微软雅黑"/>
          <w:spacing w:val="-26"/>
          <w:sz w:val="31"/>
          <w:szCs w:val="31"/>
        </w:rPr>
        <w:t xml:space="preserve"> </w:t>
      </w:r>
      <w:r>
        <w:rPr>
          <w:spacing w:val="1"/>
          <w:sz w:val="31"/>
          <w:szCs w:val="31"/>
        </w:rPr>
        <w:t>,</w:t>
      </w:r>
      <w:r>
        <w:rPr>
          <w:spacing w:val="24"/>
          <w:sz w:val="31"/>
          <w:szCs w:val="31"/>
        </w:rPr>
        <w:t xml:space="preserve">  </w:t>
      </w:r>
      <w:r>
        <w:rPr>
          <w:rFonts w:ascii="微软雅黑" w:hAnsi="微软雅黑" w:eastAsia="微软雅黑" w:cs="微软雅黑"/>
          <w:spacing w:val="1"/>
          <w:sz w:val="31"/>
          <w:szCs w:val="31"/>
        </w:rPr>
        <w:t xml:space="preserve">共享矿业发展成果。 </w:t>
      </w:r>
      <w:r>
        <w:rPr>
          <w:rFonts w:ascii="仿宋" w:hAnsi="仿宋" w:eastAsia="仿宋" w:cs="仿宋"/>
          <w:spacing w:val="1"/>
          <w:sz w:val="31"/>
          <w:szCs w:val="31"/>
        </w:rPr>
        <w:t>按照国家和省乡村振兴</w:t>
      </w:r>
      <w:r>
        <w:rPr>
          <w:rFonts w:ascii="仿宋" w:hAnsi="仿宋" w:eastAsia="仿宋" w:cs="仿宋"/>
          <w:spacing w:val="9"/>
          <w:sz w:val="31"/>
          <w:szCs w:val="31"/>
        </w:rPr>
        <w:t>总体部署，加快资源优势转化为经济发展优势</w:t>
      </w:r>
      <w:r>
        <w:rPr>
          <w:rFonts w:ascii="仿宋" w:hAnsi="仿宋" w:eastAsia="仿宋" w:cs="仿宋"/>
          <w:spacing w:val="8"/>
          <w:sz w:val="31"/>
          <w:szCs w:val="31"/>
        </w:rPr>
        <w:t>。不断完善资</w:t>
      </w:r>
      <w:r>
        <w:rPr>
          <w:rFonts w:ascii="仿宋" w:hAnsi="仿宋" w:eastAsia="仿宋" w:cs="仿宋"/>
          <w:spacing w:val="9"/>
          <w:sz w:val="31"/>
          <w:szCs w:val="31"/>
        </w:rPr>
        <w:t>源开发收益分配机制，矿产资源开发与资源就</w:t>
      </w:r>
      <w:r>
        <w:rPr>
          <w:rFonts w:ascii="仿宋" w:hAnsi="仿宋" w:eastAsia="仿宋" w:cs="仿宋"/>
          <w:spacing w:val="8"/>
          <w:sz w:val="31"/>
          <w:szCs w:val="31"/>
        </w:rPr>
        <w:t>地转化、产业</w:t>
      </w:r>
      <w:r>
        <w:rPr>
          <w:rFonts w:ascii="仿宋" w:hAnsi="仿宋" w:eastAsia="仿宋" w:cs="仿宋"/>
          <w:spacing w:val="9"/>
          <w:sz w:val="31"/>
          <w:szCs w:val="31"/>
        </w:rPr>
        <w:t>发展、群众致富有机结合，推进政府、企业、</w:t>
      </w:r>
      <w:r>
        <w:rPr>
          <w:rFonts w:ascii="仿宋" w:hAnsi="仿宋" w:eastAsia="仿宋" w:cs="仿宋"/>
          <w:spacing w:val="8"/>
          <w:sz w:val="31"/>
          <w:szCs w:val="31"/>
        </w:rPr>
        <w:t>矿区所在地群</w:t>
      </w:r>
      <w:bookmarkStart w:id="12" w:name="bookmark10"/>
      <w:bookmarkEnd w:id="12"/>
      <w:r>
        <w:rPr>
          <w:rFonts w:ascii="仿宋" w:hAnsi="仿宋" w:eastAsia="仿宋" w:cs="仿宋"/>
          <w:spacing w:val="8"/>
          <w:sz w:val="31"/>
          <w:szCs w:val="31"/>
        </w:rPr>
        <w:t>众共享资源收益，服务区域发展和民生改善。</w:t>
      </w:r>
    </w:p>
    <w:p w14:paraId="6FFD38A7">
      <w:pPr>
        <w:spacing w:before="271" w:line="321" w:lineRule="exact"/>
        <w:ind w:left="3241"/>
        <w:outlineLvl w:val="0"/>
        <w:rPr>
          <w:rFonts w:ascii="微软雅黑" w:hAnsi="微软雅黑" w:eastAsia="微软雅黑" w:cs="微软雅黑"/>
          <w:sz w:val="29"/>
          <w:szCs w:val="29"/>
        </w:rPr>
      </w:pPr>
      <w:bookmarkStart w:id="13" w:name="bookmark32"/>
      <w:bookmarkEnd w:id="13"/>
      <w:r>
        <w:rPr>
          <w:rFonts w:ascii="微软雅黑" w:hAnsi="微软雅黑" w:eastAsia="微软雅黑" w:cs="微软雅黑"/>
          <w:spacing w:val="10"/>
          <w:position w:val="-1"/>
          <w:sz w:val="29"/>
          <w:szCs w:val="29"/>
        </w:rPr>
        <w:t>第三节</w:t>
      </w:r>
      <w:r>
        <w:rPr>
          <w:rFonts w:ascii="微软雅黑" w:hAnsi="微软雅黑" w:eastAsia="微软雅黑" w:cs="微软雅黑"/>
          <w:spacing w:val="21"/>
          <w:w w:val="101"/>
          <w:position w:val="-1"/>
          <w:sz w:val="29"/>
          <w:szCs w:val="29"/>
        </w:rPr>
        <w:t xml:space="preserve">   </w:t>
      </w:r>
      <w:r>
        <w:rPr>
          <w:rFonts w:ascii="微软雅黑" w:hAnsi="微软雅黑" w:eastAsia="微软雅黑" w:cs="微软雅黑"/>
          <w:spacing w:val="10"/>
          <w:position w:val="-1"/>
          <w:sz w:val="29"/>
          <w:szCs w:val="29"/>
        </w:rPr>
        <w:t>规划 目标</w:t>
      </w:r>
    </w:p>
    <w:p w14:paraId="777A72B7">
      <w:pPr>
        <w:pStyle w:val="2"/>
        <w:spacing w:line="242" w:lineRule="auto"/>
      </w:pPr>
    </w:p>
    <w:p w14:paraId="348732CD">
      <w:pPr>
        <w:pStyle w:val="2"/>
        <w:spacing w:line="243" w:lineRule="auto"/>
      </w:pPr>
    </w:p>
    <w:p w14:paraId="7F8C5795">
      <w:pPr>
        <w:spacing w:before="101" w:line="227" w:lineRule="auto"/>
        <w:ind w:left="669"/>
        <w:rPr>
          <w:rFonts w:ascii="黑体" w:hAnsi="黑体" w:eastAsia="黑体" w:cs="黑体"/>
          <w:sz w:val="31"/>
          <w:szCs w:val="31"/>
        </w:rPr>
      </w:pPr>
      <w:r>
        <w:rPr>
          <w:rFonts w:ascii="黑体" w:hAnsi="黑体" w:eastAsia="黑体" w:cs="黑体"/>
          <w:spacing w:val="3"/>
          <w:sz w:val="31"/>
          <w:szCs w:val="31"/>
        </w:rPr>
        <w:t>一、2025</w:t>
      </w:r>
      <w:r>
        <w:rPr>
          <w:rFonts w:ascii="黑体" w:hAnsi="黑体" w:eastAsia="黑体" w:cs="黑体"/>
          <w:spacing w:val="-53"/>
          <w:sz w:val="31"/>
          <w:szCs w:val="31"/>
        </w:rPr>
        <w:t xml:space="preserve"> </w:t>
      </w:r>
      <w:r>
        <w:rPr>
          <w:rFonts w:ascii="黑体" w:hAnsi="黑体" w:eastAsia="黑体" w:cs="黑体"/>
          <w:spacing w:val="3"/>
          <w:sz w:val="31"/>
          <w:szCs w:val="31"/>
        </w:rPr>
        <w:t>年目标</w:t>
      </w:r>
    </w:p>
    <w:p w14:paraId="35A830EB">
      <w:pPr>
        <w:spacing w:line="227" w:lineRule="auto"/>
        <w:rPr>
          <w:rFonts w:ascii="黑体" w:hAnsi="黑体" w:eastAsia="黑体" w:cs="黑体"/>
          <w:sz w:val="31"/>
          <w:szCs w:val="31"/>
        </w:rPr>
        <w:sectPr>
          <w:footerReference r:id="rId18" w:type="default"/>
          <w:pgSz w:w="11904" w:h="16835"/>
          <w:pgMar w:top="1430" w:right="1785" w:bottom="1289" w:left="1785" w:header="0" w:footer="920" w:gutter="0"/>
          <w:cols w:space="720" w:num="1"/>
        </w:sectPr>
      </w:pPr>
    </w:p>
    <w:p w14:paraId="7B48A68C">
      <w:pPr>
        <w:spacing w:before="133" w:line="372" w:lineRule="auto"/>
        <w:ind w:left="129" w:right="6" w:firstLine="654"/>
        <w:jc w:val="both"/>
        <w:rPr>
          <w:rFonts w:ascii="仿宋" w:hAnsi="仿宋" w:eastAsia="仿宋" w:cs="仿宋"/>
          <w:sz w:val="31"/>
          <w:szCs w:val="31"/>
        </w:rPr>
      </w:pPr>
      <w:r>
        <w:rPr>
          <w:rFonts w:ascii="仿宋" w:hAnsi="仿宋" w:eastAsia="仿宋" w:cs="仿宋"/>
          <w:spacing w:val="12"/>
          <w:sz w:val="31"/>
          <w:szCs w:val="31"/>
        </w:rPr>
        <w:t>到</w:t>
      </w:r>
      <w:r>
        <w:rPr>
          <w:rFonts w:ascii="仿宋" w:hAnsi="仿宋" w:eastAsia="仿宋" w:cs="仿宋"/>
          <w:spacing w:val="-37"/>
          <w:sz w:val="31"/>
          <w:szCs w:val="31"/>
        </w:rPr>
        <w:t xml:space="preserve"> </w:t>
      </w:r>
      <w:r>
        <w:rPr>
          <w:rFonts w:ascii="仿宋" w:hAnsi="仿宋" w:eastAsia="仿宋" w:cs="仿宋"/>
          <w:spacing w:val="12"/>
          <w:sz w:val="31"/>
          <w:szCs w:val="31"/>
        </w:rPr>
        <w:t>2025</w:t>
      </w:r>
      <w:r>
        <w:rPr>
          <w:rFonts w:ascii="仿宋" w:hAnsi="仿宋" w:eastAsia="仿宋" w:cs="仿宋"/>
          <w:spacing w:val="-57"/>
          <w:sz w:val="31"/>
          <w:szCs w:val="31"/>
        </w:rPr>
        <w:t xml:space="preserve"> </w:t>
      </w:r>
      <w:r>
        <w:rPr>
          <w:rFonts w:ascii="仿宋" w:hAnsi="仿宋" w:eastAsia="仿宋" w:cs="仿宋"/>
          <w:spacing w:val="12"/>
          <w:sz w:val="31"/>
          <w:szCs w:val="31"/>
        </w:rPr>
        <w:t>年底，阿坝州锂资源勘查开发基地基本形成，</w:t>
      </w:r>
      <w:r>
        <w:rPr>
          <w:rFonts w:ascii="仿宋" w:hAnsi="仿宋" w:eastAsia="仿宋" w:cs="仿宋"/>
          <w:spacing w:val="9"/>
          <w:sz w:val="31"/>
          <w:szCs w:val="31"/>
        </w:rPr>
        <w:t>地热资源开发利用与全域旅游示范区协调发展，州内</w:t>
      </w:r>
      <w:r>
        <w:rPr>
          <w:rFonts w:ascii="仿宋" w:hAnsi="仿宋" w:eastAsia="仿宋" w:cs="仿宋"/>
          <w:spacing w:val="8"/>
          <w:sz w:val="31"/>
          <w:szCs w:val="31"/>
        </w:rPr>
        <w:t>矿产勘</w:t>
      </w:r>
      <w:r>
        <w:rPr>
          <w:rFonts w:ascii="仿宋" w:hAnsi="仿宋" w:eastAsia="仿宋" w:cs="仿宋"/>
          <w:spacing w:val="7"/>
          <w:sz w:val="31"/>
          <w:szCs w:val="31"/>
        </w:rPr>
        <w:t>查开发与保护成果进一步巩固。</w:t>
      </w:r>
      <w:r>
        <w:rPr>
          <w:rFonts w:ascii="仿宋" w:hAnsi="仿宋" w:eastAsia="仿宋" w:cs="仿宋"/>
          <w:spacing w:val="-93"/>
          <w:sz w:val="31"/>
          <w:szCs w:val="31"/>
        </w:rPr>
        <w:t xml:space="preserve"> </w:t>
      </w:r>
      <w:r>
        <w:rPr>
          <w:rFonts w:ascii="仿宋" w:hAnsi="仿宋" w:eastAsia="仿宋" w:cs="仿宋"/>
          <w:spacing w:val="7"/>
          <w:sz w:val="31"/>
          <w:szCs w:val="31"/>
        </w:rPr>
        <w:t>资源节约集约和高</w:t>
      </w:r>
      <w:r>
        <w:rPr>
          <w:rFonts w:ascii="仿宋" w:hAnsi="仿宋" w:eastAsia="仿宋" w:cs="仿宋"/>
          <w:spacing w:val="6"/>
          <w:sz w:val="31"/>
          <w:szCs w:val="31"/>
        </w:rPr>
        <w:t>效利用水</w:t>
      </w:r>
      <w:r>
        <w:rPr>
          <w:rFonts w:ascii="仿宋" w:hAnsi="仿宋" w:eastAsia="仿宋" w:cs="仿宋"/>
          <w:spacing w:val="-3"/>
          <w:sz w:val="31"/>
          <w:szCs w:val="31"/>
        </w:rPr>
        <w:t>平显著提升，绿色矿业发展全面推进，基本形成矿产资源勘查</w:t>
      </w:r>
      <w:r>
        <w:rPr>
          <w:rFonts w:ascii="仿宋" w:hAnsi="仿宋" w:eastAsia="仿宋" w:cs="仿宋"/>
          <w:spacing w:val="-1"/>
          <w:sz w:val="31"/>
          <w:szCs w:val="31"/>
        </w:rPr>
        <w:t>开发与环境保护协调发展新格局。</w:t>
      </w:r>
    </w:p>
    <w:p w14:paraId="3C912C1E">
      <w:pPr>
        <w:spacing w:line="231" w:lineRule="exact"/>
      </w:pPr>
    </w:p>
    <w:tbl>
      <w:tblPr>
        <w:tblStyle w:val="5"/>
        <w:tblW w:w="8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8"/>
        <w:gridCol w:w="1290"/>
        <w:gridCol w:w="2427"/>
        <w:gridCol w:w="1573"/>
        <w:gridCol w:w="1089"/>
        <w:gridCol w:w="1069"/>
      </w:tblGrid>
      <w:tr w14:paraId="04BB9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306" w:type="dxa"/>
            <w:gridSpan w:val="6"/>
            <w:shd w:val="clear" w:color="auto" w:fill="9FD3A4"/>
            <w:vAlign w:val="top"/>
          </w:tcPr>
          <w:p w14:paraId="242DA6BA">
            <w:pPr>
              <w:spacing w:before="149" w:line="223" w:lineRule="auto"/>
              <w:ind w:left="2113"/>
              <w:rPr>
                <w:rFonts w:ascii="黑体" w:hAnsi="黑体" w:eastAsia="黑体" w:cs="黑体"/>
                <w:sz w:val="28"/>
                <w:szCs w:val="28"/>
              </w:rPr>
            </w:pPr>
            <w:r>
              <w:rPr>
                <w:rFonts w:ascii="黑体" w:hAnsi="黑体" w:eastAsia="黑体" w:cs="黑体"/>
                <w:spacing w:val="3"/>
                <w:sz w:val="28"/>
                <w:szCs w:val="28"/>
              </w:rPr>
              <w:t>专栏4  阿坝州矿产资源规划主要目标</w:t>
            </w:r>
          </w:p>
        </w:tc>
      </w:tr>
      <w:tr w14:paraId="7523E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858" w:type="dxa"/>
            <w:vAlign w:val="top"/>
          </w:tcPr>
          <w:p w14:paraId="64D8AE67">
            <w:pPr>
              <w:spacing w:before="122" w:line="228" w:lineRule="auto"/>
              <w:ind w:left="249"/>
              <w:rPr>
                <w:rFonts w:ascii="黑体" w:hAnsi="黑体" w:eastAsia="黑体" w:cs="黑体"/>
                <w:sz w:val="19"/>
                <w:szCs w:val="19"/>
              </w:rPr>
            </w:pPr>
            <w:r>
              <w:rPr>
                <w:rFonts w:ascii="黑体" w:hAnsi="黑体" w:eastAsia="黑体" w:cs="黑体"/>
                <w:spacing w:val="1"/>
                <w:sz w:val="19"/>
                <w:szCs w:val="19"/>
              </w:rPr>
              <w:t>类别</w:t>
            </w:r>
          </w:p>
        </w:tc>
        <w:tc>
          <w:tcPr>
            <w:tcW w:w="3717" w:type="dxa"/>
            <w:gridSpan w:val="2"/>
            <w:vAlign w:val="top"/>
          </w:tcPr>
          <w:p w14:paraId="3BBD61E0">
            <w:pPr>
              <w:spacing w:before="123" w:line="228" w:lineRule="auto"/>
              <w:ind w:left="1466"/>
              <w:rPr>
                <w:rFonts w:ascii="黑体" w:hAnsi="黑体" w:eastAsia="黑体" w:cs="黑体"/>
                <w:sz w:val="19"/>
                <w:szCs w:val="19"/>
              </w:rPr>
            </w:pPr>
            <w:r>
              <w:rPr>
                <w:rFonts w:ascii="黑体" w:hAnsi="黑体" w:eastAsia="黑体" w:cs="黑体"/>
                <w:spacing w:val="7"/>
                <w:sz w:val="19"/>
                <w:szCs w:val="19"/>
              </w:rPr>
              <w:t>指标名称</w:t>
            </w:r>
          </w:p>
        </w:tc>
        <w:tc>
          <w:tcPr>
            <w:tcW w:w="1573" w:type="dxa"/>
            <w:vAlign w:val="top"/>
          </w:tcPr>
          <w:p w14:paraId="33A1B66F">
            <w:pPr>
              <w:spacing w:before="123" w:line="229" w:lineRule="auto"/>
              <w:ind w:left="605"/>
              <w:rPr>
                <w:rFonts w:ascii="黑体" w:hAnsi="黑体" w:eastAsia="黑体" w:cs="黑体"/>
                <w:sz w:val="19"/>
                <w:szCs w:val="19"/>
              </w:rPr>
            </w:pPr>
            <w:r>
              <w:rPr>
                <w:rFonts w:ascii="黑体" w:hAnsi="黑体" w:eastAsia="黑体" w:cs="黑体"/>
                <w:spacing w:val="2"/>
                <w:sz w:val="19"/>
                <w:szCs w:val="19"/>
              </w:rPr>
              <w:t>单位</w:t>
            </w:r>
          </w:p>
        </w:tc>
        <w:tc>
          <w:tcPr>
            <w:tcW w:w="1089" w:type="dxa"/>
            <w:vAlign w:val="top"/>
          </w:tcPr>
          <w:p w14:paraId="2FA09541">
            <w:pPr>
              <w:spacing w:before="123" w:line="230" w:lineRule="auto"/>
              <w:ind w:left="115"/>
              <w:rPr>
                <w:rFonts w:ascii="黑体" w:hAnsi="黑体" w:eastAsia="黑体" w:cs="黑体"/>
                <w:sz w:val="19"/>
                <w:szCs w:val="19"/>
              </w:rPr>
            </w:pPr>
            <w:r>
              <w:rPr>
                <w:rFonts w:ascii="黑体" w:hAnsi="黑体" w:eastAsia="黑体" w:cs="黑体"/>
                <w:spacing w:val="2"/>
                <w:sz w:val="19"/>
                <w:szCs w:val="19"/>
              </w:rPr>
              <w:t>2025</w:t>
            </w:r>
            <w:r>
              <w:rPr>
                <w:rFonts w:ascii="黑体" w:hAnsi="黑体" w:eastAsia="黑体" w:cs="黑体"/>
                <w:spacing w:val="-33"/>
                <w:sz w:val="19"/>
                <w:szCs w:val="19"/>
              </w:rPr>
              <w:t xml:space="preserve"> </w:t>
            </w:r>
            <w:r>
              <w:rPr>
                <w:rFonts w:ascii="黑体" w:hAnsi="黑体" w:eastAsia="黑体" w:cs="黑体"/>
                <w:spacing w:val="2"/>
                <w:sz w:val="19"/>
                <w:szCs w:val="19"/>
              </w:rPr>
              <w:t>年</w:t>
            </w:r>
          </w:p>
        </w:tc>
        <w:tc>
          <w:tcPr>
            <w:tcW w:w="1069" w:type="dxa"/>
            <w:vAlign w:val="top"/>
          </w:tcPr>
          <w:p w14:paraId="43469BF0">
            <w:pPr>
              <w:spacing w:before="123" w:line="229" w:lineRule="auto"/>
              <w:ind w:left="347"/>
              <w:rPr>
                <w:rFonts w:ascii="黑体" w:hAnsi="黑体" w:eastAsia="黑体" w:cs="黑体"/>
                <w:sz w:val="19"/>
                <w:szCs w:val="19"/>
              </w:rPr>
            </w:pPr>
            <w:r>
              <w:rPr>
                <w:rFonts w:ascii="黑体" w:hAnsi="黑体" w:eastAsia="黑体" w:cs="黑体"/>
                <w:spacing w:val="2"/>
                <w:sz w:val="19"/>
                <w:szCs w:val="19"/>
              </w:rPr>
              <w:t>属性</w:t>
            </w:r>
          </w:p>
        </w:tc>
      </w:tr>
      <w:tr w14:paraId="17BB9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858" w:type="dxa"/>
            <w:vMerge w:val="restart"/>
            <w:tcBorders>
              <w:bottom w:val="nil"/>
            </w:tcBorders>
            <w:vAlign w:val="top"/>
          </w:tcPr>
          <w:p w14:paraId="5AD575F5">
            <w:pPr>
              <w:pStyle w:val="6"/>
              <w:spacing w:before="172" w:line="254" w:lineRule="auto"/>
              <w:ind w:left="146" w:right="119" w:hanging="2"/>
            </w:pPr>
            <w:r>
              <w:rPr>
                <w:spacing w:val="6"/>
              </w:rPr>
              <w:t>矿产资</w:t>
            </w:r>
            <w:r>
              <w:rPr>
                <w:spacing w:val="5"/>
              </w:rPr>
              <w:t>源勘查</w:t>
            </w:r>
          </w:p>
        </w:tc>
        <w:tc>
          <w:tcPr>
            <w:tcW w:w="3717" w:type="dxa"/>
            <w:gridSpan w:val="2"/>
            <w:vAlign w:val="top"/>
          </w:tcPr>
          <w:p w14:paraId="702CDC32">
            <w:pPr>
              <w:pStyle w:val="6"/>
              <w:spacing w:before="114" w:line="224" w:lineRule="auto"/>
              <w:ind w:left="971"/>
            </w:pPr>
            <w:r>
              <w:rPr>
                <w:spacing w:val="8"/>
              </w:rPr>
              <w:t>新发现大中型矿产地</w:t>
            </w:r>
          </w:p>
        </w:tc>
        <w:tc>
          <w:tcPr>
            <w:tcW w:w="1573" w:type="dxa"/>
            <w:vAlign w:val="top"/>
          </w:tcPr>
          <w:p w14:paraId="332537B2">
            <w:pPr>
              <w:pStyle w:val="6"/>
              <w:spacing w:before="115" w:line="230" w:lineRule="auto"/>
              <w:ind w:left="709"/>
            </w:pPr>
            <w:r>
              <w:t>处</w:t>
            </w:r>
          </w:p>
        </w:tc>
        <w:tc>
          <w:tcPr>
            <w:tcW w:w="1089" w:type="dxa"/>
            <w:vAlign w:val="top"/>
          </w:tcPr>
          <w:p w14:paraId="39257598">
            <w:pPr>
              <w:pStyle w:val="6"/>
              <w:spacing w:before="115" w:line="235" w:lineRule="auto"/>
              <w:ind w:left="304"/>
            </w:pPr>
            <w:r>
              <w:rPr>
                <w:spacing w:val="5"/>
              </w:rPr>
              <w:t>〔1〕</w:t>
            </w:r>
          </w:p>
        </w:tc>
        <w:tc>
          <w:tcPr>
            <w:tcW w:w="1069" w:type="dxa"/>
            <w:vMerge w:val="restart"/>
            <w:tcBorders>
              <w:bottom w:val="nil"/>
            </w:tcBorders>
            <w:vAlign w:val="top"/>
          </w:tcPr>
          <w:p w14:paraId="05A7412D">
            <w:pPr>
              <w:spacing w:line="241" w:lineRule="auto"/>
              <w:rPr>
                <w:rFonts w:ascii="Arial"/>
                <w:sz w:val="21"/>
              </w:rPr>
            </w:pPr>
          </w:p>
          <w:p w14:paraId="38B90496">
            <w:pPr>
              <w:spacing w:line="241" w:lineRule="auto"/>
              <w:rPr>
                <w:rFonts w:ascii="Arial"/>
                <w:sz w:val="21"/>
              </w:rPr>
            </w:pPr>
          </w:p>
          <w:p w14:paraId="5E1D3395">
            <w:pPr>
              <w:spacing w:line="241" w:lineRule="auto"/>
              <w:rPr>
                <w:rFonts w:ascii="Arial"/>
                <w:sz w:val="21"/>
              </w:rPr>
            </w:pPr>
          </w:p>
          <w:p w14:paraId="13432C11">
            <w:pPr>
              <w:spacing w:line="241" w:lineRule="auto"/>
              <w:rPr>
                <w:rFonts w:ascii="Arial"/>
                <w:sz w:val="21"/>
              </w:rPr>
            </w:pPr>
          </w:p>
          <w:p w14:paraId="4155E7C5">
            <w:pPr>
              <w:spacing w:line="241" w:lineRule="auto"/>
              <w:rPr>
                <w:rFonts w:ascii="Arial"/>
                <w:sz w:val="21"/>
              </w:rPr>
            </w:pPr>
          </w:p>
          <w:p w14:paraId="375AC584">
            <w:pPr>
              <w:spacing w:line="242" w:lineRule="auto"/>
              <w:rPr>
                <w:rFonts w:ascii="Arial"/>
                <w:sz w:val="21"/>
              </w:rPr>
            </w:pPr>
          </w:p>
          <w:p w14:paraId="0F285DEC">
            <w:pPr>
              <w:spacing w:line="242" w:lineRule="auto"/>
              <w:rPr>
                <w:rFonts w:ascii="Arial"/>
                <w:sz w:val="21"/>
              </w:rPr>
            </w:pPr>
          </w:p>
          <w:p w14:paraId="70A7D424">
            <w:pPr>
              <w:spacing w:line="242" w:lineRule="auto"/>
              <w:rPr>
                <w:rFonts w:ascii="Arial"/>
                <w:sz w:val="21"/>
              </w:rPr>
            </w:pPr>
          </w:p>
          <w:p w14:paraId="39480070">
            <w:pPr>
              <w:pStyle w:val="6"/>
              <w:spacing w:before="62" w:line="222" w:lineRule="auto"/>
              <w:ind w:left="254"/>
            </w:pPr>
            <w:r>
              <w:rPr>
                <w:spacing w:val="3"/>
              </w:rPr>
              <w:t>预期性</w:t>
            </w:r>
          </w:p>
        </w:tc>
      </w:tr>
      <w:tr w14:paraId="297D3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58" w:type="dxa"/>
            <w:vMerge w:val="continue"/>
            <w:tcBorders>
              <w:top w:val="nil"/>
            </w:tcBorders>
            <w:vAlign w:val="top"/>
          </w:tcPr>
          <w:p w14:paraId="74C39B5A">
            <w:pPr>
              <w:rPr>
                <w:rFonts w:ascii="Arial"/>
                <w:sz w:val="21"/>
              </w:rPr>
            </w:pPr>
          </w:p>
        </w:tc>
        <w:tc>
          <w:tcPr>
            <w:tcW w:w="1290" w:type="dxa"/>
            <w:vAlign w:val="top"/>
          </w:tcPr>
          <w:p w14:paraId="53393395">
            <w:pPr>
              <w:pStyle w:val="6"/>
              <w:spacing w:before="72" w:line="224" w:lineRule="auto"/>
              <w:ind w:left="160"/>
            </w:pPr>
            <w:r>
              <w:rPr>
                <w:spacing w:val="7"/>
              </w:rPr>
              <w:t>新增资源量</w:t>
            </w:r>
          </w:p>
        </w:tc>
        <w:tc>
          <w:tcPr>
            <w:tcW w:w="2427" w:type="dxa"/>
            <w:vAlign w:val="top"/>
          </w:tcPr>
          <w:p w14:paraId="29ABE0E5">
            <w:pPr>
              <w:pStyle w:val="6"/>
              <w:spacing w:before="72" w:line="233" w:lineRule="auto"/>
              <w:ind w:left="1132"/>
            </w:pPr>
            <w:r>
              <w:t>锂</w:t>
            </w:r>
          </w:p>
        </w:tc>
        <w:tc>
          <w:tcPr>
            <w:tcW w:w="1573" w:type="dxa"/>
            <w:vAlign w:val="top"/>
          </w:tcPr>
          <w:p w14:paraId="04BC8D1F">
            <w:pPr>
              <w:pStyle w:val="6"/>
              <w:spacing w:before="72" w:line="230" w:lineRule="auto"/>
              <w:ind w:left="375"/>
            </w:pPr>
            <w:r>
              <w:t>Li</w:t>
            </w:r>
            <w:r>
              <w:rPr>
                <w:spacing w:val="1"/>
                <w:position w:val="-1"/>
                <w:sz w:val="9"/>
                <w:szCs w:val="9"/>
              </w:rPr>
              <w:t>2</w:t>
            </w:r>
            <w:r>
              <w:rPr>
                <w:spacing w:val="1"/>
              </w:rPr>
              <w:t>O</w:t>
            </w:r>
            <w:r>
              <w:rPr>
                <w:spacing w:val="26"/>
              </w:rPr>
              <w:t xml:space="preserve"> </w:t>
            </w:r>
            <w:r>
              <w:rPr>
                <w:spacing w:val="1"/>
              </w:rPr>
              <w:t>万吨</w:t>
            </w:r>
          </w:p>
        </w:tc>
        <w:tc>
          <w:tcPr>
            <w:tcW w:w="1089" w:type="dxa"/>
            <w:vAlign w:val="top"/>
          </w:tcPr>
          <w:p w14:paraId="24B36467">
            <w:pPr>
              <w:pStyle w:val="6"/>
              <w:spacing w:before="72" w:line="235" w:lineRule="auto"/>
              <w:ind w:left="256"/>
            </w:pPr>
            <w:r>
              <w:rPr>
                <w:spacing w:val="4"/>
              </w:rPr>
              <w:t>〔30〕</w:t>
            </w:r>
          </w:p>
        </w:tc>
        <w:tc>
          <w:tcPr>
            <w:tcW w:w="1069" w:type="dxa"/>
            <w:vMerge w:val="continue"/>
            <w:tcBorders>
              <w:top w:val="nil"/>
              <w:bottom w:val="nil"/>
            </w:tcBorders>
            <w:vAlign w:val="top"/>
          </w:tcPr>
          <w:p w14:paraId="2606BE11">
            <w:pPr>
              <w:rPr>
                <w:rFonts w:ascii="Arial"/>
                <w:sz w:val="21"/>
              </w:rPr>
            </w:pPr>
          </w:p>
        </w:tc>
      </w:tr>
      <w:tr w14:paraId="05C6B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858" w:type="dxa"/>
            <w:vMerge w:val="restart"/>
            <w:tcBorders>
              <w:bottom w:val="nil"/>
            </w:tcBorders>
            <w:vAlign w:val="top"/>
          </w:tcPr>
          <w:p w14:paraId="402C3B68">
            <w:pPr>
              <w:spacing w:line="273" w:lineRule="auto"/>
              <w:rPr>
                <w:rFonts w:ascii="Arial"/>
                <w:sz w:val="21"/>
              </w:rPr>
            </w:pPr>
          </w:p>
          <w:p w14:paraId="406E2A05">
            <w:pPr>
              <w:spacing w:line="273" w:lineRule="auto"/>
              <w:rPr>
                <w:rFonts w:ascii="Arial"/>
                <w:sz w:val="21"/>
              </w:rPr>
            </w:pPr>
          </w:p>
          <w:p w14:paraId="19F80131">
            <w:pPr>
              <w:spacing w:line="273" w:lineRule="auto"/>
              <w:rPr>
                <w:rFonts w:ascii="Arial"/>
                <w:sz w:val="21"/>
              </w:rPr>
            </w:pPr>
          </w:p>
          <w:p w14:paraId="3B94CFFA">
            <w:pPr>
              <w:spacing w:line="274" w:lineRule="auto"/>
              <w:rPr>
                <w:rFonts w:ascii="Arial"/>
                <w:sz w:val="21"/>
              </w:rPr>
            </w:pPr>
          </w:p>
          <w:p w14:paraId="26FA0D5F">
            <w:pPr>
              <w:spacing w:line="274" w:lineRule="auto"/>
              <w:rPr>
                <w:rFonts w:ascii="Arial"/>
                <w:sz w:val="21"/>
              </w:rPr>
            </w:pPr>
          </w:p>
          <w:p w14:paraId="1C21F324">
            <w:pPr>
              <w:pStyle w:val="6"/>
              <w:spacing w:before="75" w:line="250" w:lineRule="auto"/>
              <w:ind w:left="202" w:right="176" w:firstLine="6"/>
              <w:jc w:val="right"/>
              <w:rPr>
                <w:sz w:val="23"/>
                <w:szCs w:val="23"/>
              </w:rPr>
            </w:pPr>
            <w:r>
              <w:rPr>
                <w:spacing w:val="3"/>
                <w:sz w:val="23"/>
                <w:szCs w:val="23"/>
              </w:rPr>
              <w:t>矿产</w:t>
            </w:r>
            <w:r>
              <w:rPr>
                <w:spacing w:val="6"/>
                <w:sz w:val="23"/>
                <w:szCs w:val="23"/>
              </w:rPr>
              <w:t>资源开发利用与保</w:t>
            </w:r>
            <w:r>
              <w:rPr>
                <w:sz w:val="23"/>
                <w:szCs w:val="23"/>
              </w:rPr>
              <w:t>护</w:t>
            </w:r>
          </w:p>
        </w:tc>
        <w:tc>
          <w:tcPr>
            <w:tcW w:w="1290" w:type="dxa"/>
            <w:vMerge w:val="restart"/>
            <w:tcBorders>
              <w:bottom w:val="nil"/>
            </w:tcBorders>
            <w:vAlign w:val="top"/>
          </w:tcPr>
          <w:p w14:paraId="42CAEAE0">
            <w:pPr>
              <w:rPr>
                <w:rFonts w:ascii="Arial"/>
                <w:sz w:val="21"/>
              </w:rPr>
            </w:pPr>
          </w:p>
          <w:p w14:paraId="0178996F">
            <w:pPr>
              <w:rPr>
                <w:rFonts w:ascii="Arial"/>
                <w:sz w:val="21"/>
              </w:rPr>
            </w:pPr>
          </w:p>
          <w:p w14:paraId="05DB22A7">
            <w:pPr>
              <w:rPr>
                <w:rFonts w:ascii="Arial"/>
                <w:sz w:val="21"/>
              </w:rPr>
            </w:pPr>
          </w:p>
          <w:p w14:paraId="53058701">
            <w:pPr>
              <w:spacing w:line="241" w:lineRule="auto"/>
              <w:rPr>
                <w:rFonts w:ascii="Arial"/>
                <w:sz w:val="21"/>
              </w:rPr>
            </w:pPr>
          </w:p>
          <w:p w14:paraId="7A8C21AA">
            <w:pPr>
              <w:spacing w:line="241" w:lineRule="auto"/>
              <w:rPr>
                <w:rFonts w:ascii="Arial"/>
                <w:sz w:val="21"/>
              </w:rPr>
            </w:pPr>
          </w:p>
          <w:p w14:paraId="769E7B08">
            <w:pPr>
              <w:pStyle w:val="6"/>
              <w:spacing w:before="72" w:line="223" w:lineRule="auto"/>
              <w:ind w:left="225"/>
              <w:rPr>
                <w:sz w:val="22"/>
                <w:szCs w:val="22"/>
              </w:rPr>
            </w:pPr>
            <w:r>
              <w:rPr>
                <w:spacing w:val="-3"/>
                <w:sz w:val="22"/>
                <w:szCs w:val="22"/>
              </w:rPr>
              <w:t>主要矿产</w:t>
            </w:r>
          </w:p>
          <w:p w14:paraId="34A7F935">
            <w:pPr>
              <w:pStyle w:val="6"/>
              <w:spacing w:before="21" w:line="222" w:lineRule="auto"/>
              <w:ind w:left="218"/>
              <w:rPr>
                <w:sz w:val="22"/>
                <w:szCs w:val="22"/>
              </w:rPr>
            </w:pPr>
            <w:r>
              <w:rPr>
                <w:spacing w:val="-1"/>
                <w:sz w:val="22"/>
                <w:szCs w:val="22"/>
              </w:rPr>
              <w:t>年开采总</w:t>
            </w:r>
          </w:p>
          <w:p w14:paraId="2F59EA74">
            <w:pPr>
              <w:pStyle w:val="6"/>
              <w:spacing w:before="18" w:line="226" w:lineRule="auto"/>
              <w:ind w:left="552"/>
              <w:rPr>
                <w:sz w:val="22"/>
                <w:szCs w:val="22"/>
              </w:rPr>
            </w:pPr>
            <w:r>
              <w:rPr>
                <w:sz w:val="22"/>
                <w:szCs w:val="22"/>
              </w:rPr>
              <w:t>量</w:t>
            </w:r>
          </w:p>
        </w:tc>
        <w:tc>
          <w:tcPr>
            <w:tcW w:w="2427" w:type="dxa"/>
            <w:vAlign w:val="top"/>
          </w:tcPr>
          <w:p w14:paraId="0B0F224C">
            <w:pPr>
              <w:pStyle w:val="6"/>
              <w:spacing w:before="77" w:line="233" w:lineRule="auto"/>
              <w:ind w:left="1132"/>
            </w:pPr>
            <w:r>
              <w:t>锂</w:t>
            </w:r>
          </w:p>
        </w:tc>
        <w:tc>
          <w:tcPr>
            <w:tcW w:w="1573" w:type="dxa"/>
            <w:vAlign w:val="top"/>
          </w:tcPr>
          <w:p w14:paraId="6E5CFD14">
            <w:pPr>
              <w:pStyle w:val="6"/>
              <w:spacing w:before="48" w:line="225" w:lineRule="auto"/>
              <w:ind w:left="354"/>
            </w:pPr>
            <w:r>
              <w:rPr>
                <w:spacing w:val="1"/>
              </w:rPr>
              <w:t>矿石</w:t>
            </w:r>
            <w:r>
              <w:rPr>
                <w:spacing w:val="26"/>
              </w:rPr>
              <w:t xml:space="preserve"> </w:t>
            </w:r>
            <w:r>
              <w:rPr>
                <w:spacing w:val="1"/>
              </w:rPr>
              <w:t>万吨</w:t>
            </w:r>
          </w:p>
        </w:tc>
        <w:tc>
          <w:tcPr>
            <w:tcW w:w="1089" w:type="dxa"/>
            <w:vAlign w:val="top"/>
          </w:tcPr>
          <w:p w14:paraId="4ADA1ABA">
            <w:pPr>
              <w:pStyle w:val="6"/>
              <w:spacing w:before="78" w:line="242" w:lineRule="auto"/>
              <w:ind w:left="466"/>
            </w:pPr>
            <w:r>
              <w:rPr>
                <w:spacing w:val="-4"/>
              </w:rPr>
              <w:t>90</w:t>
            </w:r>
          </w:p>
        </w:tc>
        <w:tc>
          <w:tcPr>
            <w:tcW w:w="1069" w:type="dxa"/>
            <w:vMerge w:val="continue"/>
            <w:tcBorders>
              <w:top w:val="nil"/>
              <w:bottom w:val="nil"/>
            </w:tcBorders>
            <w:vAlign w:val="top"/>
          </w:tcPr>
          <w:p w14:paraId="2D551AA8">
            <w:pPr>
              <w:rPr>
                <w:rFonts w:ascii="Arial"/>
                <w:sz w:val="21"/>
              </w:rPr>
            </w:pPr>
          </w:p>
        </w:tc>
      </w:tr>
      <w:tr w14:paraId="40266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58" w:type="dxa"/>
            <w:vMerge w:val="continue"/>
            <w:tcBorders>
              <w:top w:val="nil"/>
              <w:bottom w:val="nil"/>
            </w:tcBorders>
            <w:vAlign w:val="top"/>
          </w:tcPr>
          <w:p w14:paraId="3A11C77E">
            <w:pPr>
              <w:rPr>
                <w:rFonts w:ascii="Arial"/>
                <w:sz w:val="21"/>
              </w:rPr>
            </w:pPr>
          </w:p>
        </w:tc>
        <w:tc>
          <w:tcPr>
            <w:tcW w:w="1290" w:type="dxa"/>
            <w:vMerge w:val="continue"/>
            <w:tcBorders>
              <w:top w:val="nil"/>
              <w:bottom w:val="nil"/>
            </w:tcBorders>
            <w:vAlign w:val="top"/>
          </w:tcPr>
          <w:p w14:paraId="2140119F">
            <w:pPr>
              <w:rPr>
                <w:rFonts w:ascii="Arial"/>
                <w:sz w:val="21"/>
              </w:rPr>
            </w:pPr>
          </w:p>
        </w:tc>
        <w:tc>
          <w:tcPr>
            <w:tcW w:w="2427" w:type="dxa"/>
            <w:vAlign w:val="top"/>
          </w:tcPr>
          <w:p w14:paraId="522B2D9D">
            <w:pPr>
              <w:pStyle w:val="6"/>
              <w:spacing w:before="73" w:line="229" w:lineRule="auto"/>
              <w:ind w:left="1128"/>
            </w:pPr>
            <w:r>
              <w:t>金</w:t>
            </w:r>
          </w:p>
        </w:tc>
        <w:tc>
          <w:tcPr>
            <w:tcW w:w="1573" w:type="dxa"/>
            <w:vAlign w:val="top"/>
          </w:tcPr>
          <w:p w14:paraId="3CDD2B37">
            <w:pPr>
              <w:pStyle w:val="6"/>
              <w:spacing w:before="44" w:line="225" w:lineRule="auto"/>
              <w:ind w:left="354"/>
            </w:pPr>
            <w:r>
              <w:rPr>
                <w:spacing w:val="1"/>
              </w:rPr>
              <w:t>矿石</w:t>
            </w:r>
            <w:r>
              <w:rPr>
                <w:spacing w:val="26"/>
              </w:rPr>
              <w:t xml:space="preserve"> </w:t>
            </w:r>
            <w:r>
              <w:rPr>
                <w:spacing w:val="1"/>
              </w:rPr>
              <w:t>万吨</w:t>
            </w:r>
          </w:p>
        </w:tc>
        <w:tc>
          <w:tcPr>
            <w:tcW w:w="1089" w:type="dxa"/>
            <w:vAlign w:val="top"/>
          </w:tcPr>
          <w:p w14:paraId="466805B6">
            <w:pPr>
              <w:pStyle w:val="6"/>
              <w:spacing w:before="73" w:line="242" w:lineRule="auto"/>
              <w:ind w:left="466"/>
            </w:pPr>
            <w:r>
              <w:rPr>
                <w:spacing w:val="-4"/>
              </w:rPr>
              <w:t>65</w:t>
            </w:r>
          </w:p>
        </w:tc>
        <w:tc>
          <w:tcPr>
            <w:tcW w:w="1069" w:type="dxa"/>
            <w:vMerge w:val="continue"/>
            <w:tcBorders>
              <w:top w:val="nil"/>
              <w:bottom w:val="nil"/>
            </w:tcBorders>
            <w:vAlign w:val="top"/>
          </w:tcPr>
          <w:p w14:paraId="12F114FE">
            <w:pPr>
              <w:rPr>
                <w:rFonts w:ascii="Arial"/>
                <w:sz w:val="21"/>
              </w:rPr>
            </w:pPr>
          </w:p>
        </w:tc>
      </w:tr>
      <w:tr w14:paraId="5D256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858" w:type="dxa"/>
            <w:vMerge w:val="continue"/>
            <w:tcBorders>
              <w:top w:val="nil"/>
              <w:bottom w:val="nil"/>
            </w:tcBorders>
            <w:vAlign w:val="top"/>
          </w:tcPr>
          <w:p w14:paraId="65834D39">
            <w:pPr>
              <w:rPr>
                <w:rFonts w:ascii="Arial"/>
                <w:sz w:val="21"/>
              </w:rPr>
            </w:pPr>
          </w:p>
        </w:tc>
        <w:tc>
          <w:tcPr>
            <w:tcW w:w="1290" w:type="dxa"/>
            <w:vMerge w:val="continue"/>
            <w:tcBorders>
              <w:top w:val="nil"/>
              <w:bottom w:val="nil"/>
            </w:tcBorders>
            <w:vAlign w:val="top"/>
          </w:tcPr>
          <w:p w14:paraId="06A27AA4">
            <w:pPr>
              <w:rPr>
                <w:rFonts w:ascii="Arial"/>
                <w:sz w:val="21"/>
              </w:rPr>
            </w:pPr>
          </w:p>
        </w:tc>
        <w:tc>
          <w:tcPr>
            <w:tcW w:w="2427" w:type="dxa"/>
            <w:vAlign w:val="top"/>
          </w:tcPr>
          <w:p w14:paraId="566DD6A9">
            <w:pPr>
              <w:pStyle w:val="6"/>
              <w:spacing w:before="77" w:line="225" w:lineRule="auto"/>
              <w:ind w:left="1129"/>
            </w:pPr>
            <w:r>
              <w:t>铁</w:t>
            </w:r>
          </w:p>
        </w:tc>
        <w:tc>
          <w:tcPr>
            <w:tcW w:w="1573" w:type="dxa"/>
            <w:vAlign w:val="top"/>
          </w:tcPr>
          <w:p w14:paraId="6CB22BFC">
            <w:pPr>
              <w:pStyle w:val="6"/>
              <w:spacing w:before="49" w:line="225" w:lineRule="auto"/>
              <w:ind w:left="354"/>
            </w:pPr>
            <w:r>
              <w:rPr>
                <w:spacing w:val="1"/>
              </w:rPr>
              <w:t>矿石</w:t>
            </w:r>
            <w:r>
              <w:rPr>
                <w:spacing w:val="26"/>
              </w:rPr>
              <w:t xml:space="preserve"> </w:t>
            </w:r>
            <w:r>
              <w:rPr>
                <w:spacing w:val="1"/>
              </w:rPr>
              <w:t>万吨</w:t>
            </w:r>
          </w:p>
        </w:tc>
        <w:tc>
          <w:tcPr>
            <w:tcW w:w="1089" w:type="dxa"/>
            <w:vAlign w:val="top"/>
          </w:tcPr>
          <w:p w14:paraId="3F05BA32">
            <w:pPr>
              <w:pStyle w:val="6"/>
              <w:spacing w:before="78" w:line="242" w:lineRule="auto"/>
              <w:ind w:left="473"/>
            </w:pPr>
            <w:r>
              <w:rPr>
                <w:spacing w:val="-7"/>
              </w:rPr>
              <w:t>30</w:t>
            </w:r>
          </w:p>
        </w:tc>
        <w:tc>
          <w:tcPr>
            <w:tcW w:w="1069" w:type="dxa"/>
            <w:vMerge w:val="continue"/>
            <w:tcBorders>
              <w:top w:val="nil"/>
              <w:bottom w:val="nil"/>
            </w:tcBorders>
            <w:vAlign w:val="top"/>
          </w:tcPr>
          <w:p w14:paraId="3AC206E3">
            <w:pPr>
              <w:rPr>
                <w:rFonts w:ascii="Arial"/>
                <w:sz w:val="21"/>
              </w:rPr>
            </w:pPr>
          </w:p>
        </w:tc>
      </w:tr>
      <w:tr w14:paraId="0F38A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58" w:type="dxa"/>
            <w:vMerge w:val="continue"/>
            <w:tcBorders>
              <w:top w:val="nil"/>
              <w:bottom w:val="nil"/>
            </w:tcBorders>
            <w:vAlign w:val="top"/>
          </w:tcPr>
          <w:p w14:paraId="5E1403CD">
            <w:pPr>
              <w:rPr>
                <w:rFonts w:ascii="Arial"/>
                <w:sz w:val="21"/>
              </w:rPr>
            </w:pPr>
          </w:p>
        </w:tc>
        <w:tc>
          <w:tcPr>
            <w:tcW w:w="1290" w:type="dxa"/>
            <w:vMerge w:val="continue"/>
            <w:tcBorders>
              <w:top w:val="nil"/>
              <w:bottom w:val="nil"/>
            </w:tcBorders>
            <w:vAlign w:val="top"/>
          </w:tcPr>
          <w:p w14:paraId="232168C5">
            <w:pPr>
              <w:rPr>
                <w:rFonts w:ascii="Arial"/>
                <w:sz w:val="21"/>
              </w:rPr>
            </w:pPr>
          </w:p>
        </w:tc>
        <w:tc>
          <w:tcPr>
            <w:tcW w:w="2427" w:type="dxa"/>
            <w:vAlign w:val="top"/>
          </w:tcPr>
          <w:p w14:paraId="6B691D38">
            <w:pPr>
              <w:pStyle w:val="6"/>
              <w:spacing w:before="78" w:line="224" w:lineRule="auto"/>
              <w:ind w:left="1124"/>
            </w:pPr>
            <w:r>
              <w:rPr>
                <w:spacing w:val="1"/>
              </w:rPr>
              <w:t>钨</w:t>
            </w:r>
          </w:p>
        </w:tc>
        <w:tc>
          <w:tcPr>
            <w:tcW w:w="1573" w:type="dxa"/>
            <w:vAlign w:val="top"/>
          </w:tcPr>
          <w:p w14:paraId="512A41F2">
            <w:pPr>
              <w:pStyle w:val="6"/>
              <w:spacing w:before="44" w:line="225" w:lineRule="auto"/>
              <w:ind w:left="354"/>
            </w:pPr>
            <w:r>
              <w:rPr>
                <w:spacing w:val="1"/>
              </w:rPr>
              <w:t>矿石</w:t>
            </w:r>
            <w:r>
              <w:rPr>
                <w:spacing w:val="26"/>
              </w:rPr>
              <w:t xml:space="preserve"> </w:t>
            </w:r>
            <w:r>
              <w:rPr>
                <w:spacing w:val="1"/>
              </w:rPr>
              <w:t>万吨</w:t>
            </w:r>
          </w:p>
        </w:tc>
        <w:tc>
          <w:tcPr>
            <w:tcW w:w="1089" w:type="dxa"/>
            <w:vAlign w:val="top"/>
          </w:tcPr>
          <w:p w14:paraId="199640A8">
            <w:pPr>
              <w:pStyle w:val="6"/>
              <w:spacing w:before="78" w:line="242" w:lineRule="auto"/>
              <w:ind w:left="425"/>
            </w:pPr>
            <w:r>
              <w:rPr>
                <w:spacing w:val="-3"/>
              </w:rPr>
              <w:t>360</w:t>
            </w:r>
          </w:p>
        </w:tc>
        <w:tc>
          <w:tcPr>
            <w:tcW w:w="1069" w:type="dxa"/>
            <w:vMerge w:val="continue"/>
            <w:tcBorders>
              <w:top w:val="nil"/>
              <w:bottom w:val="nil"/>
            </w:tcBorders>
            <w:vAlign w:val="top"/>
          </w:tcPr>
          <w:p w14:paraId="620EB143">
            <w:pPr>
              <w:rPr>
                <w:rFonts w:ascii="Arial"/>
                <w:sz w:val="21"/>
              </w:rPr>
            </w:pPr>
          </w:p>
        </w:tc>
      </w:tr>
      <w:tr w14:paraId="73C60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858" w:type="dxa"/>
            <w:vMerge w:val="continue"/>
            <w:tcBorders>
              <w:top w:val="nil"/>
              <w:bottom w:val="nil"/>
            </w:tcBorders>
            <w:vAlign w:val="top"/>
          </w:tcPr>
          <w:p w14:paraId="6017EEA9">
            <w:pPr>
              <w:rPr>
                <w:rFonts w:ascii="Arial"/>
                <w:sz w:val="21"/>
              </w:rPr>
            </w:pPr>
          </w:p>
        </w:tc>
        <w:tc>
          <w:tcPr>
            <w:tcW w:w="1290" w:type="dxa"/>
            <w:vMerge w:val="continue"/>
            <w:tcBorders>
              <w:top w:val="nil"/>
              <w:bottom w:val="nil"/>
            </w:tcBorders>
            <w:vAlign w:val="top"/>
          </w:tcPr>
          <w:p w14:paraId="2AFA4F23">
            <w:pPr>
              <w:rPr>
                <w:rFonts w:ascii="Arial"/>
                <w:sz w:val="21"/>
              </w:rPr>
            </w:pPr>
          </w:p>
        </w:tc>
        <w:tc>
          <w:tcPr>
            <w:tcW w:w="2427" w:type="dxa"/>
            <w:vAlign w:val="top"/>
          </w:tcPr>
          <w:p w14:paraId="43E7AA1A">
            <w:pPr>
              <w:pStyle w:val="6"/>
              <w:spacing w:before="78" w:line="224" w:lineRule="auto"/>
              <w:ind w:left="1132"/>
            </w:pPr>
            <w:r>
              <w:t>钼</w:t>
            </w:r>
          </w:p>
        </w:tc>
        <w:tc>
          <w:tcPr>
            <w:tcW w:w="1573" w:type="dxa"/>
            <w:vAlign w:val="top"/>
          </w:tcPr>
          <w:p w14:paraId="7875FFB8">
            <w:pPr>
              <w:pStyle w:val="6"/>
              <w:spacing w:before="49" w:line="225" w:lineRule="auto"/>
              <w:ind w:left="354"/>
            </w:pPr>
            <w:r>
              <w:rPr>
                <w:spacing w:val="1"/>
              </w:rPr>
              <w:t>矿石</w:t>
            </w:r>
            <w:r>
              <w:rPr>
                <w:spacing w:val="26"/>
              </w:rPr>
              <w:t xml:space="preserve"> </w:t>
            </w:r>
            <w:r>
              <w:rPr>
                <w:spacing w:val="1"/>
              </w:rPr>
              <w:t>万吨</w:t>
            </w:r>
          </w:p>
        </w:tc>
        <w:tc>
          <w:tcPr>
            <w:tcW w:w="1089" w:type="dxa"/>
            <w:vAlign w:val="top"/>
          </w:tcPr>
          <w:p w14:paraId="6C650EFA">
            <w:pPr>
              <w:pStyle w:val="6"/>
              <w:spacing w:before="78" w:line="242" w:lineRule="auto"/>
              <w:ind w:left="425"/>
            </w:pPr>
            <w:r>
              <w:rPr>
                <w:spacing w:val="-3"/>
              </w:rPr>
              <w:t>360</w:t>
            </w:r>
          </w:p>
        </w:tc>
        <w:tc>
          <w:tcPr>
            <w:tcW w:w="1069" w:type="dxa"/>
            <w:vMerge w:val="continue"/>
            <w:tcBorders>
              <w:top w:val="nil"/>
              <w:bottom w:val="nil"/>
            </w:tcBorders>
            <w:vAlign w:val="top"/>
          </w:tcPr>
          <w:p w14:paraId="7A3C1C14">
            <w:pPr>
              <w:rPr>
                <w:rFonts w:ascii="Arial"/>
                <w:sz w:val="21"/>
              </w:rPr>
            </w:pPr>
          </w:p>
        </w:tc>
      </w:tr>
      <w:tr w14:paraId="08C19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858" w:type="dxa"/>
            <w:vMerge w:val="continue"/>
            <w:tcBorders>
              <w:top w:val="nil"/>
              <w:bottom w:val="nil"/>
            </w:tcBorders>
            <w:vAlign w:val="top"/>
          </w:tcPr>
          <w:p w14:paraId="6B7AC66D">
            <w:pPr>
              <w:rPr>
                <w:rFonts w:ascii="Arial"/>
                <w:sz w:val="21"/>
              </w:rPr>
            </w:pPr>
          </w:p>
        </w:tc>
        <w:tc>
          <w:tcPr>
            <w:tcW w:w="1290" w:type="dxa"/>
            <w:vMerge w:val="continue"/>
            <w:tcBorders>
              <w:top w:val="nil"/>
              <w:bottom w:val="nil"/>
            </w:tcBorders>
            <w:vAlign w:val="top"/>
          </w:tcPr>
          <w:p w14:paraId="590A0EFD">
            <w:pPr>
              <w:rPr>
                <w:rFonts w:ascii="Arial"/>
                <w:sz w:val="21"/>
              </w:rPr>
            </w:pPr>
          </w:p>
        </w:tc>
        <w:tc>
          <w:tcPr>
            <w:tcW w:w="2427" w:type="dxa"/>
            <w:vAlign w:val="top"/>
          </w:tcPr>
          <w:p w14:paraId="32B0A7C5">
            <w:pPr>
              <w:pStyle w:val="6"/>
              <w:spacing w:before="78" w:line="224" w:lineRule="auto"/>
              <w:ind w:left="1024"/>
            </w:pPr>
            <w:r>
              <w:rPr>
                <w:spacing w:val="6"/>
              </w:rPr>
              <w:t>地热</w:t>
            </w:r>
          </w:p>
        </w:tc>
        <w:tc>
          <w:tcPr>
            <w:tcW w:w="1573" w:type="dxa"/>
            <w:vAlign w:val="top"/>
          </w:tcPr>
          <w:p w14:paraId="1309108E">
            <w:pPr>
              <w:pStyle w:val="6"/>
              <w:spacing w:before="43" w:line="224" w:lineRule="auto"/>
              <w:ind w:left="261"/>
            </w:pPr>
            <w:r>
              <w:rPr>
                <w:spacing w:val="5"/>
              </w:rPr>
              <w:t>万立方米/年</w:t>
            </w:r>
          </w:p>
        </w:tc>
        <w:tc>
          <w:tcPr>
            <w:tcW w:w="1089" w:type="dxa"/>
            <w:vAlign w:val="top"/>
          </w:tcPr>
          <w:p w14:paraId="3A5B319E">
            <w:pPr>
              <w:pStyle w:val="6"/>
              <w:spacing w:before="78" w:line="242" w:lineRule="auto"/>
              <w:ind w:left="470"/>
            </w:pPr>
            <w:r>
              <w:rPr>
                <w:spacing w:val="-6"/>
              </w:rPr>
              <w:t>16</w:t>
            </w:r>
          </w:p>
        </w:tc>
        <w:tc>
          <w:tcPr>
            <w:tcW w:w="1069" w:type="dxa"/>
            <w:vMerge w:val="continue"/>
            <w:tcBorders>
              <w:top w:val="nil"/>
              <w:bottom w:val="nil"/>
            </w:tcBorders>
            <w:vAlign w:val="top"/>
          </w:tcPr>
          <w:p w14:paraId="4D761788">
            <w:pPr>
              <w:rPr>
                <w:rFonts w:ascii="Arial"/>
                <w:sz w:val="21"/>
              </w:rPr>
            </w:pPr>
          </w:p>
        </w:tc>
      </w:tr>
      <w:tr w14:paraId="6FD7B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8" w:type="dxa"/>
            <w:vMerge w:val="continue"/>
            <w:tcBorders>
              <w:top w:val="nil"/>
              <w:bottom w:val="nil"/>
            </w:tcBorders>
            <w:vAlign w:val="top"/>
          </w:tcPr>
          <w:p w14:paraId="0F1A4898">
            <w:pPr>
              <w:rPr>
                <w:rFonts w:ascii="Arial"/>
                <w:sz w:val="21"/>
              </w:rPr>
            </w:pPr>
          </w:p>
        </w:tc>
        <w:tc>
          <w:tcPr>
            <w:tcW w:w="1290" w:type="dxa"/>
            <w:vMerge w:val="continue"/>
            <w:tcBorders>
              <w:top w:val="nil"/>
              <w:bottom w:val="nil"/>
            </w:tcBorders>
            <w:vAlign w:val="top"/>
          </w:tcPr>
          <w:p w14:paraId="34A7FB40">
            <w:pPr>
              <w:rPr>
                <w:rFonts w:ascii="Arial"/>
                <w:sz w:val="21"/>
              </w:rPr>
            </w:pPr>
          </w:p>
        </w:tc>
        <w:tc>
          <w:tcPr>
            <w:tcW w:w="2427" w:type="dxa"/>
            <w:vAlign w:val="top"/>
          </w:tcPr>
          <w:p w14:paraId="6B0CE10C">
            <w:pPr>
              <w:pStyle w:val="6"/>
              <w:spacing w:before="83" w:line="224" w:lineRule="auto"/>
              <w:ind w:left="723"/>
            </w:pPr>
            <w:r>
              <w:rPr>
                <w:spacing w:val="8"/>
              </w:rPr>
              <w:t>水泥用灰岩</w:t>
            </w:r>
          </w:p>
        </w:tc>
        <w:tc>
          <w:tcPr>
            <w:tcW w:w="1573" w:type="dxa"/>
            <w:vAlign w:val="top"/>
          </w:tcPr>
          <w:p w14:paraId="3E8B3553">
            <w:pPr>
              <w:pStyle w:val="6"/>
              <w:spacing w:before="45" w:line="227" w:lineRule="auto"/>
              <w:ind w:left="611"/>
            </w:pPr>
            <w:r>
              <w:rPr>
                <w:spacing w:val="-1"/>
              </w:rPr>
              <w:t>万吨</w:t>
            </w:r>
          </w:p>
        </w:tc>
        <w:tc>
          <w:tcPr>
            <w:tcW w:w="1089" w:type="dxa"/>
            <w:vAlign w:val="top"/>
          </w:tcPr>
          <w:p w14:paraId="5DF2D58E">
            <w:pPr>
              <w:pStyle w:val="6"/>
              <w:spacing w:before="83" w:line="242" w:lineRule="auto"/>
              <w:ind w:left="422"/>
            </w:pPr>
            <w:r>
              <w:rPr>
                <w:spacing w:val="-2"/>
              </w:rPr>
              <w:t>120</w:t>
            </w:r>
          </w:p>
        </w:tc>
        <w:tc>
          <w:tcPr>
            <w:tcW w:w="1069" w:type="dxa"/>
            <w:vMerge w:val="continue"/>
            <w:tcBorders>
              <w:top w:val="nil"/>
              <w:bottom w:val="nil"/>
            </w:tcBorders>
            <w:vAlign w:val="top"/>
          </w:tcPr>
          <w:p w14:paraId="4B77B8D1">
            <w:pPr>
              <w:rPr>
                <w:rFonts w:ascii="Arial"/>
                <w:sz w:val="21"/>
              </w:rPr>
            </w:pPr>
          </w:p>
        </w:tc>
      </w:tr>
      <w:tr w14:paraId="64443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858" w:type="dxa"/>
            <w:vMerge w:val="continue"/>
            <w:tcBorders>
              <w:top w:val="nil"/>
              <w:bottom w:val="nil"/>
            </w:tcBorders>
            <w:vAlign w:val="top"/>
          </w:tcPr>
          <w:p w14:paraId="294B13C5">
            <w:pPr>
              <w:rPr>
                <w:rFonts w:ascii="Arial"/>
                <w:sz w:val="21"/>
              </w:rPr>
            </w:pPr>
          </w:p>
        </w:tc>
        <w:tc>
          <w:tcPr>
            <w:tcW w:w="1290" w:type="dxa"/>
            <w:vMerge w:val="continue"/>
            <w:tcBorders>
              <w:top w:val="nil"/>
              <w:bottom w:val="nil"/>
            </w:tcBorders>
            <w:vAlign w:val="top"/>
          </w:tcPr>
          <w:p w14:paraId="225BB175">
            <w:pPr>
              <w:rPr>
                <w:rFonts w:ascii="Arial"/>
                <w:sz w:val="21"/>
              </w:rPr>
            </w:pPr>
          </w:p>
        </w:tc>
        <w:tc>
          <w:tcPr>
            <w:tcW w:w="2427" w:type="dxa"/>
            <w:vAlign w:val="top"/>
          </w:tcPr>
          <w:p w14:paraId="3F0DB07B">
            <w:pPr>
              <w:pStyle w:val="6"/>
              <w:spacing w:before="64" w:line="225" w:lineRule="auto"/>
              <w:ind w:left="722"/>
            </w:pPr>
            <w:r>
              <w:rPr>
                <w:spacing w:val="8"/>
              </w:rPr>
              <w:t>建筑用砂石</w:t>
            </w:r>
          </w:p>
        </w:tc>
        <w:tc>
          <w:tcPr>
            <w:tcW w:w="1573" w:type="dxa"/>
            <w:vAlign w:val="top"/>
          </w:tcPr>
          <w:p w14:paraId="441931E0">
            <w:pPr>
              <w:pStyle w:val="6"/>
              <w:spacing w:before="50" w:line="227" w:lineRule="auto"/>
              <w:ind w:left="611"/>
            </w:pPr>
            <w:r>
              <w:rPr>
                <w:spacing w:val="-1"/>
              </w:rPr>
              <w:t>万吨</w:t>
            </w:r>
          </w:p>
        </w:tc>
        <w:tc>
          <w:tcPr>
            <w:tcW w:w="1089" w:type="dxa"/>
            <w:vAlign w:val="top"/>
          </w:tcPr>
          <w:p w14:paraId="4B10EBDA">
            <w:pPr>
              <w:pStyle w:val="6"/>
              <w:spacing w:before="65" w:line="242" w:lineRule="auto"/>
              <w:ind w:left="425"/>
            </w:pPr>
            <w:r>
              <w:rPr>
                <w:spacing w:val="-3"/>
              </w:rPr>
              <w:t>320</w:t>
            </w:r>
          </w:p>
        </w:tc>
        <w:tc>
          <w:tcPr>
            <w:tcW w:w="1069" w:type="dxa"/>
            <w:vMerge w:val="continue"/>
            <w:tcBorders>
              <w:top w:val="nil"/>
              <w:bottom w:val="nil"/>
            </w:tcBorders>
            <w:vAlign w:val="top"/>
          </w:tcPr>
          <w:p w14:paraId="086737FA">
            <w:pPr>
              <w:rPr>
                <w:rFonts w:ascii="Arial"/>
                <w:sz w:val="21"/>
              </w:rPr>
            </w:pPr>
          </w:p>
        </w:tc>
      </w:tr>
      <w:tr w14:paraId="21C31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8" w:type="dxa"/>
            <w:vMerge w:val="continue"/>
            <w:tcBorders>
              <w:top w:val="nil"/>
              <w:bottom w:val="nil"/>
            </w:tcBorders>
            <w:vAlign w:val="top"/>
          </w:tcPr>
          <w:p w14:paraId="72792F13">
            <w:pPr>
              <w:rPr>
                <w:rFonts w:ascii="Arial"/>
                <w:sz w:val="21"/>
              </w:rPr>
            </w:pPr>
          </w:p>
        </w:tc>
        <w:tc>
          <w:tcPr>
            <w:tcW w:w="1290" w:type="dxa"/>
            <w:vMerge w:val="continue"/>
            <w:tcBorders>
              <w:top w:val="nil"/>
            </w:tcBorders>
            <w:vAlign w:val="top"/>
          </w:tcPr>
          <w:p w14:paraId="10515A24">
            <w:pPr>
              <w:rPr>
                <w:rFonts w:ascii="Arial"/>
                <w:sz w:val="21"/>
              </w:rPr>
            </w:pPr>
          </w:p>
        </w:tc>
        <w:tc>
          <w:tcPr>
            <w:tcW w:w="2427" w:type="dxa"/>
            <w:vAlign w:val="top"/>
          </w:tcPr>
          <w:p w14:paraId="69E839CA">
            <w:pPr>
              <w:pStyle w:val="6"/>
              <w:spacing w:before="69" w:line="223" w:lineRule="auto"/>
              <w:ind w:left="726"/>
            </w:pPr>
            <w:r>
              <w:rPr>
                <w:spacing w:val="7"/>
              </w:rPr>
              <w:t>砖瓦用粘土</w:t>
            </w:r>
          </w:p>
        </w:tc>
        <w:tc>
          <w:tcPr>
            <w:tcW w:w="1573" w:type="dxa"/>
            <w:vAlign w:val="top"/>
          </w:tcPr>
          <w:p w14:paraId="0207227F">
            <w:pPr>
              <w:pStyle w:val="6"/>
              <w:spacing w:before="50" w:line="224" w:lineRule="auto"/>
              <w:ind w:left="409"/>
            </w:pPr>
            <w:r>
              <w:rPr>
                <w:spacing w:val="4"/>
              </w:rPr>
              <w:t>万立方米</w:t>
            </w:r>
          </w:p>
        </w:tc>
        <w:tc>
          <w:tcPr>
            <w:tcW w:w="1089" w:type="dxa"/>
            <w:vAlign w:val="top"/>
          </w:tcPr>
          <w:p w14:paraId="494F2EB7">
            <w:pPr>
              <w:pStyle w:val="6"/>
              <w:spacing w:before="69" w:line="242" w:lineRule="auto"/>
              <w:ind w:left="464"/>
            </w:pPr>
            <w:r>
              <w:rPr>
                <w:spacing w:val="-3"/>
              </w:rPr>
              <w:t>40</w:t>
            </w:r>
          </w:p>
        </w:tc>
        <w:tc>
          <w:tcPr>
            <w:tcW w:w="1069" w:type="dxa"/>
            <w:vMerge w:val="continue"/>
            <w:tcBorders>
              <w:top w:val="nil"/>
            </w:tcBorders>
            <w:vAlign w:val="top"/>
          </w:tcPr>
          <w:p w14:paraId="015C6416">
            <w:pPr>
              <w:rPr>
                <w:rFonts w:ascii="Arial"/>
                <w:sz w:val="21"/>
              </w:rPr>
            </w:pPr>
          </w:p>
        </w:tc>
      </w:tr>
      <w:tr w14:paraId="73F54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858" w:type="dxa"/>
            <w:vMerge w:val="continue"/>
            <w:tcBorders>
              <w:top w:val="nil"/>
              <w:bottom w:val="nil"/>
            </w:tcBorders>
            <w:vAlign w:val="top"/>
          </w:tcPr>
          <w:p w14:paraId="61857C51">
            <w:pPr>
              <w:rPr>
                <w:rFonts w:ascii="Arial"/>
                <w:sz w:val="21"/>
              </w:rPr>
            </w:pPr>
          </w:p>
        </w:tc>
        <w:tc>
          <w:tcPr>
            <w:tcW w:w="1290" w:type="dxa"/>
            <w:vMerge w:val="restart"/>
            <w:tcBorders>
              <w:bottom w:val="nil"/>
            </w:tcBorders>
            <w:vAlign w:val="top"/>
          </w:tcPr>
          <w:p w14:paraId="46FAD004">
            <w:pPr>
              <w:spacing w:line="303" w:lineRule="auto"/>
              <w:rPr>
                <w:rFonts w:ascii="Arial"/>
                <w:sz w:val="21"/>
              </w:rPr>
            </w:pPr>
          </w:p>
          <w:p w14:paraId="11F741F3">
            <w:pPr>
              <w:pStyle w:val="6"/>
              <w:spacing w:before="62" w:line="224" w:lineRule="auto"/>
              <w:ind w:left="260"/>
            </w:pPr>
            <w:r>
              <w:rPr>
                <w:spacing w:val="6"/>
              </w:rPr>
              <w:t>矿山数量</w:t>
            </w:r>
          </w:p>
        </w:tc>
        <w:tc>
          <w:tcPr>
            <w:tcW w:w="2427" w:type="dxa"/>
            <w:vAlign w:val="top"/>
          </w:tcPr>
          <w:p w14:paraId="45FDD6A5">
            <w:pPr>
              <w:pStyle w:val="6"/>
              <w:spacing w:before="36" w:line="224" w:lineRule="auto"/>
              <w:ind w:left="828"/>
            </w:pPr>
            <w:r>
              <w:rPr>
                <w:spacing w:val="6"/>
              </w:rPr>
              <w:t>矿山总数</w:t>
            </w:r>
          </w:p>
        </w:tc>
        <w:tc>
          <w:tcPr>
            <w:tcW w:w="1573" w:type="dxa"/>
            <w:vAlign w:val="top"/>
          </w:tcPr>
          <w:p w14:paraId="693FDA0B">
            <w:pPr>
              <w:pStyle w:val="6"/>
              <w:spacing w:before="36" w:line="224" w:lineRule="auto"/>
              <w:ind w:left="703"/>
            </w:pPr>
            <w:r>
              <w:t>个</w:t>
            </w:r>
          </w:p>
        </w:tc>
        <w:tc>
          <w:tcPr>
            <w:tcW w:w="1089" w:type="dxa"/>
            <w:vAlign w:val="top"/>
          </w:tcPr>
          <w:p w14:paraId="71356B66">
            <w:pPr>
              <w:pStyle w:val="6"/>
              <w:spacing w:before="36" w:line="234" w:lineRule="auto"/>
              <w:ind w:left="473"/>
            </w:pPr>
            <w:r>
              <w:rPr>
                <w:spacing w:val="-7"/>
              </w:rPr>
              <w:t>35</w:t>
            </w:r>
          </w:p>
        </w:tc>
        <w:tc>
          <w:tcPr>
            <w:tcW w:w="1069" w:type="dxa"/>
            <w:vMerge w:val="restart"/>
            <w:tcBorders>
              <w:bottom w:val="nil"/>
            </w:tcBorders>
            <w:vAlign w:val="top"/>
          </w:tcPr>
          <w:p w14:paraId="1A724663">
            <w:pPr>
              <w:spacing w:line="302" w:lineRule="auto"/>
              <w:rPr>
                <w:rFonts w:ascii="Arial"/>
                <w:sz w:val="21"/>
              </w:rPr>
            </w:pPr>
          </w:p>
          <w:p w14:paraId="19E5D3F1">
            <w:pPr>
              <w:pStyle w:val="6"/>
              <w:spacing w:before="62" w:line="222" w:lineRule="auto"/>
              <w:ind w:left="257"/>
            </w:pPr>
            <w:r>
              <w:rPr>
                <w:spacing w:val="2"/>
              </w:rPr>
              <w:t>约束性</w:t>
            </w:r>
          </w:p>
        </w:tc>
      </w:tr>
      <w:tr w14:paraId="324F1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858" w:type="dxa"/>
            <w:vMerge w:val="continue"/>
            <w:tcBorders>
              <w:top w:val="nil"/>
              <w:bottom w:val="nil"/>
            </w:tcBorders>
            <w:vAlign w:val="top"/>
          </w:tcPr>
          <w:p w14:paraId="5E824A9D">
            <w:pPr>
              <w:rPr>
                <w:rFonts w:ascii="Arial"/>
                <w:sz w:val="21"/>
              </w:rPr>
            </w:pPr>
          </w:p>
        </w:tc>
        <w:tc>
          <w:tcPr>
            <w:tcW w:w="1290" w:type="dxa"/>
            <w:vMerge w:val="continue"/>
            <w:tcBorders>
              <w:top w:val="nil"/>
              <w:bottom w:val="nil"/>
            </w:tcBorders>
            <w:vAlign w:val="top"/>
          </w:tcPr>
          <w:p w14:paraId="3530B055">
            <w:pPr>
              <w:rPr>
                <w:rFonts w:ascii="Arial"/>
                <w:sz w:val="21"/>
              </w:rPr>
            </w:pPr>
          </w:p>
        </w:tc>
        <w:tc>
          <w:tcPr>
            <w:tcW w:w="2427" w:type="dxa"/>
            <w:vAlign w:val="top"/>
          </w:tcPr>
          <w:p w14:paraId="1F7B9BA2">
            <w:pPr>
              <w:pStyle w:val="6"/>
              <w:spacing w:before="61" w:line="224" w:lineRule="auto"/>
              <w:ind w:left="528"/>
            </w:pPr>
            <w:r>
              <w:rPr>
                <w:spacing w:val="8"/>
              </w:rPr>
              <w:t>砂石类矿山数量</w:t>
            </w:r>
          </w:p>
        </w:tc>
        <w:tc>
          <w:tcPr>
            <w:tcW w:w="1573" w:type="dxa"/>
            <w:vAlign w:val="top"/>
          </w:tcPr>
          <w:p w14:paraId="65BD6C50">
            <w:pPr>
              <w:pStyle w:val="6"/>
              <w:spacing w:before="61" w:line="224" w:lineRule="auto"/>
              <w:ind w:left="703"/>
            </w:pPr>
            <w:r>
              <w:t>个</w:t>
            </w:r>
          </w:p>
        </w:tc>
        <w:tc>
          <w:tcPr>
            <w:tcW w:w="1089" w:type="dxa"/>
            <w:vAlign w:val="top"/>
          </w:tcPr>
          <w:p w14:paraId="047252BE">
            <w:pPr>
              <w:pStyle w:val="6"/>
              <w:spacing w:before="61" w:line="242" w:lineRule="auto"/>
              <w:ind w:left="470"/>
            </w:pPr>
            <w:r>
              <w:rPr>
                <w:spacing w:val="-6"/>
              </w:rPr>
              <w:t>10</w:t>
            </w:r>
          </w:p>
        </w:tc>
        <w:tc>
          <w:tcPr>
            <w:tcW w:w="1069" w:type="dxa"/>
            <w:vMerge w:val="continue"/>
            <w:tcBorders>
              <w:top w:val="nil"/>
              <w:bottom w:val="nil"/>
            </w:tcBorders>
            <w:vAlign w:val="top"/>
          </w:tcPr>
          <w:p w14:paraId="090203A0">
            <w:pPr>
              <w:rPr>
                <w:rFonts w:ascii="Arial"/>
                <w:sz w:val="21"/>
              </w:rPr>
            </w:pPr>
          </w:p>
        </w:tc>
      </w:tr>
      <w:tr w14:paraId="07B0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8" w:type="dxa"/>
            <w:vMerge w:val="continue"/>
            <w:tcBorders>
              <w:top w:val="nil"/>
              <w:bottom w:val="nil"/>
            </w:tcBorders>
            <w:vAlign w:val="top"/>
          </w:tcPr>
          <w:p w14:paraId="62759666">
            <w:pPr>
              <w:rPr>
                <w:rFonts w:ascii="Arial"/>
                <w:sz w:val="21"/>
              </w:rPr>
            </w:pPr>
          </w:p>
        </w:tc>
        <w:tc>
          <w:tcPr>
            <w:tcW w:w="1290" w:type="dxa"/>
            <w:vMerge w:val="continue"/>
            <w:tcBorders>
              <w:top w:val="nil"/>
            </w:tcBorders>
            <w:vAlign w:val="top"/>
          </w:tcPr>
          <w:p w14:paraId="6949D35E">
            <w:pPr>
              <w:rPr>
                <w:rFonts w:ascii="Arial"/>
                <w:sz w:val="21"/>
              </w:rPr>
            </w:pPr>
          </w:p>
        </w:tc>
        <w:tc>
          <w:tcPr>
            <w:tcW w:w="2427" w:type="dxa"/>
            <w:vAlign w:val="top"/>
          </w:tcPr>
          <w:p w14:paraId="6F762929">
            <w:pPr>
              <w:pStyle w:val="6"/>
              <w:spacing w:before="51" w:line="225" w:lineRule="auto"/>
              <w:ind w:left="726"/>
            </w:pPr>
            <w:r>
              <w:rPr>
                <w:spacing w:val="7"/>
              </w:rPr>
              <w:t>砖瓦用页岩</w:t>
            </w:r>
          </w:p>
        </w:tc>
        <w:tc>
          <w:tcPr>
            <w:tcW w:w="1573" w:type="dxa"/>
            <w:vAlign w:val="top"/>
          </w:tcPr>
          <w:p w14:paraId="1B279CEE">
            <w:pPr>
              <w:pStyle w:val="6"/>
              <w:spacing w:before="52" w:line="224" w:lineRule="auto"/>
              <w:ind w:left="703"/>
            </w:pPr>
            <w:r>
              <w:t>个</w:t>
            </w:r>
          </w:p>
        </w:tc>
        <w:tc>
          <w:tcPr>
            <w:tcW w:w="1089" w:type="dxa"/>
            <w:vAlign w:val="top"/>
          </w:tcPr>
          <w:p w14:paraId="23CF8B45">
            <w:pPr>
              <w:pStyle w:val="6"/>
              <w:spacing w:before="51" w:line="251" w:lineRule="exact"/>
              <w:ind w:left="518"/>
            </w:pPr>
            <w:r>
              <w:rPr>
                <w:position w:val="1"/>
              </w:rPr>
              <w:t>2</w:t>
            </w:r>
          </w:p>
        </w:tc>
        <w:tc>
          <w:tcPr>
            <w:tcW w:w="1069" w:type="dxa"/>
            <w:vMerge w:val="continue"/>
            <w:tcBorders>
              <w:top w:val="nil"/>
            </w:tcBorders>
            <w:vAlign w:val="top"/>
          </w:tcPr>
          <w:p w14:paraId="670D645C">
            <w:pPr>
              <w:rPr>
                <w:rFonts w:ascii="Arial"/>
                <w:sz w:val="21"/>
              </w:rPr>
            </w:pPr>
          </w:p>
        </w:tc>
      </w:tr>
      <w:tr w14:paraId="359A7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58" w:type="dxa"/>
            <w:vMerge w:val="continue"/>
            <w:tcBorders>
              <w:top w:val="nil"/>
            </w:tcBorders>
            <w:vAlign w:val="top"/>
          </w:tcPr>
          <w:p w14:paraId="388F620E">
            <w:pPr>
              <w:rPr>
                <w:rFonts w:ascii="Arial"/>
                <w:sz w:val="21"/>
              </w:rPr>
            </w:pPr>
          </w:p>
        </w:tc>
        <w:tc>
          <w:tcPr>
            <w:tcW w:w="3717" w:type="dxa"/>
            <w:gridSpan w:val="2"/>
            <w:vAlign w:val="top"/>
          </w:tcPr>
          <w:p w14:paraId="1C9E005C">
            <w:pPr>
              <w:pStyle w:val="6"/>
              <w:spacing w:before="80" w:line="224" w:lineRule="auto"/>
              <w:ind w:left="1178"/>
            </w:pPr>
            <w:r>
              <w:rPr>
                <w:spacing w:val="7"/>
              </w:rPr>
              <w:t>大中型矿山比例</w:t>
            </w:r>
          </w:p>
        </w:tc>
        <w:tc>
          <w:tcPr>
            <w:tcW w:w="1573" w:type="dxa"/>
            <w:vAlign w:val="top"/>
          </w:tcPr>
          <w:p w14:paraId="2E895255">
            <w:pPr>
              <w:pStyle w:val="6"/>
              <w:spacing w:before="81" w:line="242" w:lineRule="auto"/>
              <w:ind w:left="749"/>
            </w:pPr>
            <w:r>
              <w:t>%</w:t>
            </w:r>
          </w:p>
        </w:tc>
        <w:tc>
          <w:tcPr>
            <w:tcW w:w="1089" w:type="dxa"/>
            <w:vAlign w:val="top"/>
          </w:tcPr>
          <w:p w14:paraId="61F76B50">
            <w:pPr>
              <w:pStyle w:val="6"/>
              <w:spacing w:before="81" w:line="242" w:lineRule="auto"/>
              <w:ind w:left="465"/>
            </w:pPr>
            <w:r>
              <w:rPr>
                <w:spacing w:val="-4"/>
              </w:rPr>
              <w:t>25</w:t>
            </w:r>
          </w:p>
        </w:tc>
        <w:tc>
          <w:tcPr>
            <w:tcW w:w="1069" w:type="dxa"/>
            <w:vAlign w:val="top"/>
          </w:tcPr>
          <w:p w14:paraId="7D6C5533">
            <w:pPr>
              <w:pStyle w:val="6"/>
              <w:spacing w:before="80" w:line="222" w:lineRule="auto"/>
              <w:ind w:left="254"/>
            </w:pPr>
            <w:r>
              <w:rPr>
                <w:spacing w:val="3"/>
              </w:rPr>
              <w:t>预期性</w:t>
            </w:r>
          </w:p>
        </w:tc>
      </w:tr>
    </w:tbl>
    <w:p w14:paraId="7EB4FAD9">
      <w:pPr>
        <w:spacing w:before="202" w:line="188" w:lineRule="auto"/>
        <w:ind w:left="133"/>
        <w:rPr>
          <w:rFonts w:ascii="仿宋" w:hAnsi="仿宋" w:eastAsia="仿宋" w:cs="仿宋"/>
          <w:sz w:val="23"/>
          <w:szCs w:val="23"/>
        </w:rPr>
      </w:pPr>
      <w:r>
        <w:rPr>
          <w:rFonts w:ascii="微软雅黑" w:hAnsi="微软雅黑" w:eastAsia="微软雅黑" w:cs="微软雅黑"/>
          <w:spacing w:val="-1"/>
          <w:position w:val="1"/>
          <w:sz w:val="23"/>
          <w:szCs w:val="23"/>
        </w:rPr>
        <w:t>注:</w:t>
      </w:r>
      <w:r>
        <w:rPr>
          <w:rFonts w:ascii="微软雅黑" w:hAnsi="微软雅黑" w:eastAsia="微软雅黑" w:cs="微软雅黑"/>
          <w:spacing w:val="7"/>
          <w:position w:val="1"/>
          <w:sz w:val="23"/>
          <w:szCs w:val="23"/>
        </w:rPr>
        <w:t xml:space="preserve">    </w:t>
      </w:r>
      <w:r>
        <w:rPr>
          <w:sz w:val="23"/>
          <w:szCs w:val="23"/>
        </w:rPr>
        <w:drawing>
          <wp:inline distT="0" distB="0" distL="0" distR="0">
            <wp:extent cx="160655" cy="12954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6"/>
                    <a:stretch>
                      <a:fillRect/>
                    </a:stretch>
                  </pic:blipFill>
                  <pic:spPr>
                    <a:xfrm>
                      <a:off x="0" y="0"/>
                      <a:ext cx="161124" cy="129597"/>
                    </a:xfrm>
                    <a:prstGeom prst="rect">
                      <a:avLst/>
                    </a:prstGeom>
                  </pic:spPr>
                </pic:pic>
              </a:graphicData>
            </a:graphic>
          </wp:inline>
        </w:drawing>
      </w:r>
      <w:r>
        <w:rPr>
          <w:rFonts w:ascii="微软雅黑" w:hAnsi="微软雅黑" w:eastAsia="微软雅黑" w:cs="微软雅黑"/>
          <w:spacing w:val="65"/>
          <w:w w:val="101"/>
          <w:position w:val="1"/>
          <w:sz w:val="23"/>
          <w:szCs w:val="23"/>
        </w:rPr>
        <w:t xml:space="preserve"> </w:t>
      </w:r>
      <w:r>
        <w:rPr>
          <w:rFonts w:ascii="仿宋" w:hAnsi="仿宋" w:eastAsia="仿宋" w:cs="仿宋"/>
          <w:spacing w:val="-1"/>
          <w:sz w:val="23"/>
          <w:szCs w:val="23"/>
        </w:rPr>
        <w:t>为</w:t>
      </w:r>
      <w:r>
        <w:rPr>
          <w:rFonts w:ascii="仿宋" w:hAnsi="仿宋" w:eastAsia="仿宋" w:cs="仿宋"/>
          <w:spacing w:val="-36"/>
          <w:sz w:val="23"/>
          <w:szCs w:val="23"/>
        </w:rPr>
        <w:t xml:space="preserve"> </w:t>
      </w:r>
      <w:r>
        <w:rPr>
          <w:rFonts w:ascii="仿宋" w:hAnsi="仿宋" w:eastAsia="仿宋" w:cs="仿宋"/>
          <w:spacing w:val="-1"/>
          <w:sz w:val="23"/>
          <w:szCs w:val="23"/>
        </w:rPr>
        <w:t>5</w:t>
      </w:r>
      <w:r>
        <w:rPr>
          <w:rFonts w:ascii="仿宋" w:hAnsi="仿宋" w:eastAsia="仿宋" w:cs="仿宋"/>
          <w:spacing w:val="-40"/>
          <w:sz w:val="23"/>
          <w:szCs w:val="23"/>
        </w:rPr>
        <w:t xml:space="preserve"> </w:t>
      </w:r>
      <w:r>
        <w:rPr>
          <w:rFonts w:ascii="仿宋" w:hAnsi="仿宋" w:eastAsia="仿宋" w:cs="仿宋"/>
          <w:spacing w:val="-1"/>
          <w:sz w:val="23"/>
          <w:szCs w:val="23"/>
        </w:rPr>
        <w:t>年累计。</w:t>
      </w:r>
    </w:p>
    <w:p w14:paraId="3FE532B4">
      <w:pPr>
        <w:pStyle w:val="2"/>
        <w:spacing w:line="373" w:lineRule="auto"/>
      </w:pPr>
    </w:p>
    <w:p w14:paraId="439A6DAA">
      <w:pPr>
        <w:spacing w:before="133" w:line="323" w:lineRule="auto"/>
        <w:ind w:left="130" w:right="165" w:firstLine="626"/>
        <w:jc w:val="both"/>
        <w:rPr>
          <w:rFonts w:ascii="仿宋" w:hAnsi="仿宋" w:eastAsia="仿宋" w:cs="仿宋"/>
          <w:sz w:val="31"/>
          <w:szCs w:val="31"/>
        </w:rPr>
      </w:pPr>
      <w:r>
        <w:rPr>
          <w:rFonts w:ascii="微软雅黑" w:hAnsi="微软雅黑" w:eastAsia="微软雅黑" w:cs="微软雅黑"/>
          <w:spacing w:val="3"/>
          <w:sz w:val="31"/>
          <w:szCs w:val="31"/>
        </w:rPr>
        <w:t>锂矿资源实现找矿新突破.</w:t>
      </w:r>
      <w:r>
        <w:rPr>
          <w:rFonts w:ascii="微软雅黑" w:hAnsi="微软雅黑" w:eastAsia="微软雅黑" w:cs="微软雅黑"/>
          <w:spacing w:val="28"/>
          <w:sz w:val="31"/>
          <w:szCs w:val="31"/>
        </w:rPr>
        <w:t xml:space="preserve">  </w:t>
      </w:r>
      <w:r>
        <w:rPr>
          <w:rFonts w:ascii="仿宋" w:hAnsi="仿宋" w:eastAsia="仿宋" w:cs="仿宋"/>
          <w:spacing w:val="3"/>
          <w:sz w:val="31"/>
          <w:szCs w:val="31"/>
        </w:rPr>
        <w:t>重点加强已有探矿权</w:t>
      </w:r>
      <w:r>
        <w:rPr>
          <w:rFonts w:ascii="仿宋" w:hAnsi="仿宋" w:eastAsia="仿宋" w:cs="仿宋"/>
          <w:spacing w:val="2"/>
          <w:sz w:val="31"/>
          <w:szCs w:val="31"/>
        </w:rPr>
        <w:t>勘查力</w:t>
      </w:r>
      <w:r>
        <w:rPr>
          <w:rFonts w:ascii="仿宋" w:hAnsi="仿宋" w:eastAsia="仿宋" w:cs="仿宋"/>
          <w:sz w:val="31"/>
          <w:szCs w:val="31"/>
        </w:rPr>
        <w:t>度，提高重要矿产资源综合勘查水平，增加锂矿资源储量，</w:t>
      </w:r>
    </w:p>
    <w:p w14:paraId="6D5760C3">
      <w:pPr>
        <w:spacing w:before="2" w:line="370" w:lineRule="auto"/>
        <w:ind w:left="168" w:right="64" w:hanging="23"/>
        <w:jc w:val="both"/>
        <w:rPr>
          <w:rFonts w:ascii="仿宋" w:hAnsi="仿宋" w:eastAsia="仿宋" w:cs="仿宋"/>
          <w:sz w:val="31"/>
          <w:szCs w:val="31"/>
        </w:rPr>
      </w:pPr>
      <w:r>
        <w:rPr>
          <w:rFonts w:ascii="仿宋" w:hAnsi="仿宋" w:eastAsia="仿宋" w:cs="仿宋"/>
          <w:spacing w:val="6"/>
          <w:sz w:val="31"/>
          <w:szCs w:val="31"/>
        </w:rPr>
        <w:t>满足建设锂矿资源基地的需要，可尔因地区新发现和评价大</w:t>
      </w:r>
      <w:r>
        <w:rPr>
          <w:rFonts w:ascii="仿宋" w:hAnsi="仿宋" w:eastAsia="仿宋" w:cs="仿宋"/>
          <w:spacing w:val="-10"/>
          <w:sz w:val="31"/>
          <w:szCs w:val="31"/>
        </w:rPr>
        <w:t>中型锂矿产地</w:t>
      </w:r>
      <w:r>
        <w:rPr>
          <w:rFonts w:ascii="仿宋" w:hAnsi="仿宋" w:eastAsia="仿宋" w:cs="仿宋"/>
          <w:spacing w:val="26"/>
          <w:sz w:val="31"/>
          <w:szCs w:val="31"/>
        </w:rPr>
        <w:t xml:space="preserve"> </w:t>
      </w:r>
      <w:r>
        <w:rPr>
          <w:rFonts w:ascii="仿宋" w:hAnsi="仿宋" w:eastAsia="仿宋" w:cs="仿宋"/>
          <w:spacing w:val="-10"/>
          <w:sz w:val="31"/>
          <w:szCs w:val="31"/>
        </w:rPr>
        <w:t>1</w:t>
      </w:r>
      <w:r>
        <w:rPr>
          <w:rFonts w:ascii="仿宋" w:hAnsi="仿宋" w:eastAsia="仿宋" w:cs="仿宋"/>
          <w:spacing w:val="-59"/>
          <w:sz w:val="31"/>
          <w:szCs w:val="31"/>
        </w:rPr>
        <w:t xml:space="preserve"> </w:t>
      </w:r>
      <w:r>
        <w:rPr>
          <w:rFonts w:ascii="仿宋" w:hAnsi="仿宋" w:eastAsia="仿宋" w:cs="仿宋"/>
          <w:spacing w:val="-10"/>
          <w:sz w:val="31"/>
          <w:szCs w:val="31"/>
        </w:rPr>
        <w:t>处。</w:t>
      </w:r>
    </w:p>
    <w:p w14:paraId="2939117B">
      <w:pPr>
        <w:spacing w:line="370" w:lineRule="auto"/>
        <w:rPr>
          <w:rFonts w:ascii="仿宋" w:hAnsi="仿宋" w:eastAsia="仿宋" w:cs="仿宋"/>
          <w:sz w:val="31"/>
          <w:szCs w:val="31"/>
        </w:rPr>
        <w:sectPr>
          <w:footerReference r:id="rId19" w:type="default"/>
          <w:pgSz w:w="11904" w:h="16835"/>
          <w:pgMar w:top="1430" w:right="1785" w:bottom="1289" w:left="1679" w:header="0" w:footer="923" w:gutter="0"/>
          <w:cols w:space="720" w:num="1"/>
        </w:sectPr>
      </w:pPr>
    </w:p>
    <w:p w14:paraId="5CFC16A3">
      <w:pPr>
        <w:spacing w:before="126" w:line="349" w:lineRule="auto"/>
        <w:ind w:left="26" w:right="16" w:firstLine="641"/>
        <w:jc w:val="both"/>
        <w:rPr>
          <w:rFonts w:ascii="仿宋" w:hAnsi="仿宋" w:eastAsia="仿宋" w:cs="仿宋"/>
          <w:sz w:val="31"/>
          <w:szCs w:val="31"/>
        </w:rPr>
      </w:pPr>
      <w:r>
        <w:rPr>
          <w:rFonts w:ascii="微软雅黑" w:hAnsi="微软雅黑" w:eastAsia="微软雅黑" w:cs="微软雅黑"/>
          <w:spacing w:val="3"/>
          <w:sz w:val="31"/>
          <w:szCs w:val="31"/>
        </w:rPr>
        <w:t>矿产资源开发利用与保护水平明显提高</w:t>
      </w:r>
      <w:r>
        <w:rPr>
          <w:rFonts w:ascii="微软雅黑" w:hAnsi="微软雅黑" w:eastAsia="微软雅黑" w:cs="微软雅黑"/>
          <w:spacing w:val="-25"/>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67"/>
          <w:sz w:val="31"/>
          <w:szCs w:val="31"/>
        </w:rPr>
        <w:t xml:space="preserve"> </w:t>
      </w:r>
      <w:r>
        <w:rPr>
          <w:rFonts w:ascii="仿宋" w:hAnsi="仿宋" w:eastAsia="仿宋" w:cs="仿宋"/>
          <w:spacing w:val="3"/>
          <w:sz w:val="31"/>
          <w:szCs w:val="31"/>
        </w:rPr>
        <w:t>有效调控重要</w:t>
      </w:r>
      <w:r>
        <w:rPr>
          <w:rFonts w:ascii="仿宋" w:hAnsi="仿宋" w:eastAsia="仿宋" w:cs="仿宋"/>
          <w:spacing w:val="9"/>
          <w:sz w:val="31"/>
          <w:szCs w:val="31"/>
        </w:rPr>
        <w:t>优势矿产开采总量，在稳定和提高资源可供性</w:t>
      </w:r>
      <w:r>
        <w:rPr>
          <w:rFonts w:ascii="仿宋" w:hAnsi="仿宋" w:eastAsia="仿宋" w:cs="仿宋"/>
          <w:spacing w:val="8"/>
          <w:sz w:val="31"/>
          <w:szCs w:val="31"/>
        </w:rPr>
        <w:t>的基础上，稳</w:t>
      </w:r>
      <w:r>
        <w:rPr>
          <w:rFonts w:ascii="仿宋" w:hAnsi="仿宋" w:eastAsia="仿宋" w:cs="仿宋"/>
          <w:spacing w:val="7"/>
          <w:sz w:val="31"/>
          <w:szCs w:val="31"/>
        </w:rPr>
        <w:t>定重要矿产资源开采量。2025</w:t>
      </w:r>
      <w:r>
        <w:rPr>
          <w:rFonts w:ascii="仿宋" w:hAnsi="仿宋" w:eastAsia="仿宋" w:cs="仿宋"/>
          <w:spacing w:val="-58"/>
          <w:sz w:val="31"/>
          <w:szCs w:val="31"/>
        </w:rPr>
        <w:t xml:space="preserve"> </w:t>
      </w:r>
      <w:r>
        <w:rPr>
          <w:rFonts w:ascii="仿宋" w:hAnsi="仿宋" w:eastAsia="仿宋" w:cs="仿宋"/>
          <w:spacing w:val="7"/>
          <w:sz w:val="31"/>
          <w:szCs w:val="31"/>
        </w:rPr>
        <w:t>年，全州年</w:t>
      </w:r>
      <w:r>
        <w:rPr>
          <w:rFonts w:ascii="仿宋" w:hAnsi="仿宋" w:eastAsia="仿宋" w:cs="仿宋"/>
          <w:spacing w:val="6"/>
          <w:sz w:val="31"/>
          <w:szCs w:val="31"/>
        </w:rPr>
        <w:t>开采锂矿矿石</w:t>
      </w:r>
      <w:r>
        <w:rPr>
          <w:rFonts w:ascii="仿宋" w:hAnsi="仿宋" w:eastAsia="仿宋" w:cs="仿宋"/>
          <w:spacing w:val="-46"/>
          <w:sz w:val="31"/>
          <w:szCs w:val="31"/>
        </w:rPr>
        <w:t xml:space="preserve"> </w:t>
      </w:r>
      <w:r>
        <w:rPr>
          <w:rFonts w:ascii="仿宋" w:hAnsi="仿宋" w:eastAsia="仿宋" w:cs="仿宋"/>
          <w:spacing w:val="6"/>
          <w:sz w:val="31"/>
          <w:szCs w:val="31"/>
        </w:rPr>
        <w:t>90</w:t>
      </w:r>
      <w:r>
        <w:rPr>
          <w:rFonts w:ascii="仿宋" w:hAnsi="仿宋" w:eastAsia="仿宋" w:cs="仿宋"/>
          <w:spacing w:val="3"/>
          <w:sz w:val="31"/>
          <w:szCs w:val="31"/>
        </w:rPr>
        <w:t>万吨，金矿矿石</w:t>
      </w:r>
      <w:r>
        <w:rPr>
          <w:rFonts w:ascii="仿宋" w:hAnsi="仿宋" w:eastAsia="仿宋" w:cs="仿宋"/>
          <w:spacing w:val="-39"/>
          <w:sz w:val="31"/>
          <w:szCs w:val="31"/>
        </w:rPr>
        <w:t xml:space="preserve"> </w:t>
      </w:r>
      <w:r>
        <w:rPr>
          <w:rFonts w:ascii="仿宋" w:hAnsi="仿宋" w:eastAsia="仿宋" w:cs="仿宋"/>
          <w:spacing w:val="3"/>
          <w:sz w:val="31"/>
          <w:szCs w:val="31"/>
        </w:rPr>
        <w:t>65</w:t>
      </w:r>
      <w:r>
        <w:rPr>
          <w:rFonts w:ascii="仿宋" w:hAnsi="仿宋" w:eastAsia="仿宋" w:cs="仿宋"/>
          <w:spacing w:val="-44"/>
          <w:sz w:val="31"/>
          <w:szCs w:val="31"/>
        </w:rPr>
        <w:t xml:space="preserve"> </w:t>
      </w:r>
      <w:r>
        <w:rPr>
          <w:rFonts w:ascii="仿宋" w:hAnsi="仿宋" w:eastAsia="仿宋" w:cs="仿宋"/>
          <w:spacing w:val="3"/>
          <w:sz w:val="31"/>
          <w:szCs w:val="31"/>
        </w:rPr>
        <w:t>万吨，铁矿矿石</w:t>
      </w:r>
      <w:r>
        <w:rPr>
          <w:rFonts w:ascii="仿宋" w:hAnsi="仿宋" w:eastAsia="仿宋" w:cs="仿宋"/>
          <w:spacing w:val="-36"/>
          <w:sz w:val="31"/>
          <w:szCs w:val="31"/>
        </w:rPr>
        <w:t xml:space="preserve"> </w:t>
      </w:r>
      <w:r>
        <w:rPr>
          <w:rFonts w:ascii="仿宋" w:hAnsi="仿宋" w:eastAsia="仿宋" w:cs="仿宋"/>
          <w:spacing w:val="3"/>
          <w:sz w:val="31"/>
          <w:szCs w:val="31"/>
        </w:rPr>
        <w:t>30</w:t>
      </w:r>
      <w:r>
        <w:rPr>
          <w:rFonts w:ascii="仿宋" w:hAnsi="仿宋" w:eastAsia="仿宋" w:cs="仿宋"/>
          <w:spacing w:val="-44"/>
          <w:sz w:val="31"/>
          <w:szCs w:val="31"/>
        </w:rPr>
        <w:t xml:space="preserve"> </w:t>
      </w:r>
      <w:r>
        <w:rPr>
          <w:rFonts w:ascii="仿宋" w:hAnsi="仿宋" w:eastAsia="仿宋" w:cs="仿宋"/>
          <w:spacing w:val="3"/>
          <w:sz w:val="31"/>
          <w:szCs w:val="31"/>
        </w:rPr>
        <w:t>万吨。全州采矿权稳</w:t>
      </w:r>
      <w:r>
        <w:rPr>
          <w:rFonts w:ascii="仿宋" w:hAnsi="仿宋" w:eastAsia="仿宋" w:cs="仿宋"/>
          <w:spacing w:val="4"/>
          <w:sz w:val="31"/>
          <w:szCs w:val="31"/>
        </w:rPr>
        <w:t>定在</w:t>
      </w:r>
      <w:r>
        <w:rPr>
          <w:rFonts w:ascii="仿宋" w:hAnsi="仿宋" w:eastAsia="仿宋" w:cs="仿宋"/>
          <w:spacing w:val="-37"/>
          <w:sz w:val="31"/>
          <w:szCs w:val="31"/>
        </w:rPr>
        <w:t xml:space="preserve"> </w:t>
      </w:r>
      <w:r>
        <w:rPr>
          <w:rFonts w:ascii="仿宋" w:hAnsi="仿宋" w:eastAsia="仿宋" w:cs="仿宋"/>
          <w:spacing w:val="4"/>
          <w:sz w:val="31"/>
          <w:szCs w:val="31"/>
        </w:rPr>
        <w:t>35</w:t>
      </w:r>
      <w:r>
        <w:rPr>
          <w:rFonts w:ascii="仿宋" w:hAnsi="仿宋" w:eastAsia="仿宋" w:cs="仿宋"/>
          <w:spacing w:val="-58"/>
          <w:sz w:val="31"/>
          <w:szCs w:val="31"/>
        </w:rPr>
        <w:t xml:space="preserve"> </w:t>
      </w:r>
      <w:r>
        <w:rPr>
          <w:rFonts w:ascii="仿宋" w:hAnsi="仿宋" w:eastAsia="仿宋" w:cs="仿宋"/>
          <w:spacing w:val="4"/>
          <w:sz w:val="31"/>
          <w:szCs w:val="31"/>
        </w:rPr>
        <w:t>个左右，大中型矿山比例达到</w:t>
      </w:r>
      <w:r>
        <w:rPr>
          <w:rFonts w:ascii="仿宋" w:hAnsi="仿宋" w:eastAsia="仿宋" w:cs="仿宋"/>
          <w:spacing w:val="-44"/>
          <w:sz w:val="31"/>
          <w:szCs w:val="31"/>
        </w:rPr>
        <w:t xml:space="preserve"> </w:t>
      </w:r>
      <w:r>
        <w:rPr>
          <w:rFonts w:ascii="仿宋" w:hAnsi="仿宋" w:eastAsia="仿宋" w:cs="仿宋"/>
          <w:spacing w:val="4"/>
          <w:sz w:val="31"/>
          <w:szCs w:val="31"/>
        </w:rPr>
        <w:t>25%</w:t>
      </w:r>
      <w:r>
        <w:rPr>
          <w:rFonts w:ascii="仿宋" w:hAnsi="仿宋" w:eastAsia="仿宋" w:cs="仿宋"/>
          <w:spacing w:val="3"/>
          <w:sz w:val="31"/>
          <w:szCs w:val="31"/>
        </w:rPr>
        <w:t>左右。</w:t>
      </w:r>
    </w:p>
    <w:p w14:paraId="353607CA">
      <w:pPr>
        <w:spacing w:before="7" w:line="348" w:lineRule="auto"/>
        <w:ind w:left="30" w:right="16" w:firstLine="644"/>
        <w:jc w:val="both"/>
        <w:rPr>
          <w:rFonts w:ascii="仿宋" w:hAnsi="仿宋" w:eastAsia="仿宋" w:cs="仿宋"/>
          <w:sz w:val="31"/>
          <w:szCs w:val="31"/>
        </w:rPr>
      </w:pPr>
      <w:r>
        <w:rPr>
          <w:rFonts w:ascii="微软雅黑" w:hAnsi="微软雅黑" w:eastAsia="微软雅黑" w:cs="微软雅黑"/>
          <w:spacing w:val="7"/>
          <w:sz w:val="31"/>
          <w:szCs w:val="31"/>
        </w:rPr>
        <w:t>绿色矿山建设取得明显进展。</w:t>
      </w:r>
      <w:r>
        <w:rPr>
          <w:rFonts w:ascii="微软雅黑" w:hAnsi="微软雅黑" w:eastAsia="微软雅黑" w:cs="微软雅黑"/>
          <w:spacing w:val="-60"/>
          <w:sz w:val="31"/>
          <w:szCs w:val="31"/>
        </w:rPr>
        <w:t xml:space="preserve"> </w:t>
      </w:r>
      <w:r>
        <w:rPr>
          <w:rFonts w:ascii="仿宋" w:hAnsi="仿宋" w:eastAsia="仿宋" w:cs="仿宋"/>
          <w:spacing w:val="7"/>
          <w:sz w:val="31"/>
          <w:szCs w:val="31"/>
        </w:rPr>
        <w:t>矿山集约节约利用水平显</w:t>
      </w:r>
      <w:r>
        <w:rPr>
          <w:rFonts w:ascii="仿宋" w:hAnsi="仿宋" w:eastAsia="仿宋" w:cs="仿宋"/>
          <w:spacing w:val="8"/>
          <w:sz w:val="31"/>
          <w:szCs w:val="31"/>
        </w:rPr>
        <w:t>著提升，矿业提质增效和转型升级取得成效。解决历史遗留</w:t>
      </w:r>
      <w:r>
        <w:rPr>
          <w:rFonts w:ascii="仿宋" w:hAnsi="仿宋" w:eastAsia="仿宋" w:cs="仿宋"/>
          <w:spacing w:val="12"/>
          <w:sz w:val="31"/>
          <w:szCs w:val="31"/>
        </w:rPr>
        <w:t>问题的力度不断加大，到</w:t>
      </w:r>
      <w:r>
        <w:rPr>
          <w:rFonts w:ascii="仿宋" w:hAnsi="仿宋" w:eastAsia="仿宋" w:cs="仿宋"/>
          <w:spacing w:val="-42"/>
          <w:sz w:val="31"/>
          <w:szCs w:val="31"/>
        </w:rPr>
        <w:t xml:space="preserve"> </w:t>
      </w:r>
      <w:r>
        <w:rPr>
          <w:rFonts w:ascii="仿宋" w:hAnsi="仿宋" w:eastAsia="仿宋" w:cs="仿宋"/>
          <w:spacing w:val="12"/>
          <w:sz w:val="31"/>
          <w:szCs w:val="31"/>
        </w:rPr>
        <w:t>2025</w:t>
      </w:r>
      <w:r>
        <w:rPr>
          <w:rFonts w:ascii="仿宋" w:hAnsi="仿宋" w:eastAsia="仿宋" w:cs="仿宋"/>
          <w:spacing w:val="-58"/>
          <w:sz w:val="31"/>
          <w:szCs w:val="31"/>
        </w:rPr>
        <w:t xml:space="preserve"> </w:t>
      </w:r>
      <w:r>
        <w:rPr>
          <w:rFonts w:ascii="仿宋" w:hAnsi="仿宋" w:eastAsia="仿宋" w:cs="仿宋"/>
          <w:spacing w:val="12"/>
          <w:sz w:val="31"/>
          <w:szCs w:val="31"/>
        </w:rPr>
        <w:t>年，新建矿山全部达到绿色矿山要求，</w:t>
      </w:r>
      <w:r>
        <w:rPr>
          <w:rFonts w:ascii="仿宋" w:hAnsi="仿宋" w:eastAsia="仿宋" w:cs="仿宋"/>
          <w:spacing w:val="-60"/>
          <w:sz w:val="31"/>
          <w:szCs w:val="31"/>
        </w:rPr>
        <w:t xml:space="preserve"> </w:t>
      </w:r>
      <w:r>
        <w:rPr>
          <w:rFonts w:ascii="仿宋" w:hAnsi="仿宋" w:eastAsia="仿宋" w:cs="仿宋"/>
          <w:spacing w:val="12"/>
          <w:sz w:val="31"/>
          <w:szCs w:val="31"/>
        </w:rPr>
        <w:t>已有生产矿山的得到有效的生态修复，到</w:t>
      </w:r>
      <w:r>
        <w:rPr>
          <w:rFonts w:ascii="仿宋" w:hAnsi="仿宋" w:eastAsia="仿宋" w:cs="仿宋"/>
          <w:spacing w:val="-40"/>
          <w:sz w:val="31"/>
          <w:szCs w:val="31"/>
        </w:rPr>
        <w:t xml:space="preserve"> </w:t>
      </w:r>
      <w:r>
        <w:rPr>
          <w:rFonts w:ascii="仿宋" w:hAnsi="仿宋" w:eastAsia="仿宋" w:cs="仿宋"/>
          <w:spacing w:val="12"/>
          <w:sz w:val="31"/>
          <w:szCs w:val="31"/>
        </w:rPr>
        <w:t>2035</w:t>
      </w:r>
      <w:r>
        <w:rPr>
          <w:rFonts w:ascii="仿宋" w:hAnsi="仿宋" w:eastAsia="仿宋" w:cs="仿宋"/>
          <w:spacing w:val="7"/>
          <w:sz w:val="31"/>
          <w:szCs w:val="31"/>
        </w:rPr>
        <w:t>年全部达到绿色矿山建设要求。</w:t>
      </w:r>
    </w:p>
    <w:p w14:paraId="25605056">
      <w:pPr>
        <w:pStyle w:val="2"/>
        <w:spacing w:before="10" w:line="358" w:lineRule="auto"/>
        <w:ind w:left="26" w:right="16" w:firstLine="641"/>
        <w:jc w:val="both"/>
        <w:rPr>
          <w:rFonts w:ascii="仿宋" w:hAnsi="仿宋" w:eastAsia="仿宋" w:cs="仿宋"/>
          <w:sz w:val="31"/>
          <w:szCs w:val="31"/>
        </w:rPr>
      </w:pPr>
      <w:r>
        <w:rPr>
          <w:rFonts w:ascii="微软雅黑" w:hAnsi="微软雅黑" w:eastAsia="微软雅黑" w:cs="微软雅黑"/>
          <w:spacing w:val="5"/>
          <w:sz w:val="31"/>
          <w:szCs w:val="31"/>
        </w:rPr>
        <w:t>矿山生产要素结构不断优化</w:t>
      </w:r>
      <w:r>
        <w:rPr>
          <w:rFonts w:ascii="微软雅黑" w:hAnsi="微软雅黑" w:eastAsia="微软雅黑" w:cs="微软雅黑"/>
          <w:spacing w:val="-42"/>
          <w:sz w:val="31"/>
          <w:szCs w:val="31"/>
        </w:rPr>
        <w:t xml:space="preserve"> </w:t>
      </w:r>
      <w:r>
        <w:rPr>
          <w:spacing w:val="5"/>
          <w:sz w:val="31"/>
          <w:szCs w:val="31"/>
        </w:rPr>
        <w:t>.</w:t>
      </w:r>
      <w:r>
        <w:rPr>
          <w:spacing w:val="1"/>
          <w:sz w:val="31"/>
          <w:szCs w:val="31"/>
        </w:rPr>
        <w:t xml:space="preserve">   </w:t>
      </w:r>
      <w:r>
        <w:rPr>
          <w:rFonts w:ascii="仿宋" w:hAnsi="仿宋" w:eastAsia="仿宋" w:cs="仿宋"/>
          <w:spacing w:val="5"/>
          <w:sz w:val="31"/>
          <w:szCs w:val="31"/>
        </w:rPr>
        <w:t>引导</w:t>
      </w:r>
      <w:r>
        <w:rPr>
          <w:rFonts w:ascii="仿宋" w:hAnsi="仿宋" w:eastAsia="仿宋" w:cs="仿宋"/>
          <w:spacing w:val="5"/>
          <w:position w:val="-8"/>
          <w:sz w:val="31"/>
          <w:szCs w:val="31"/>
        </w:rPr>
        <w:t>、</w:t>
      </w:r>
      <w:r>
        <w:rPr>
          <w:rFonts w:ascii="仿宋" w:hAnsi="仿宋" w:eastAsia="仿宋" w:cs="仿宋"/>
          <w:spacing w:val="5"/>
          <w:sz w:val="31"/>
          <w:szCs w:val="31"/>
        </w:rPr>
        <w:t>支持矿山企业进行</w:t>
      </w:r>
      <w:r>
        <w:rPr>
          <w:rFonts w:ascii="仿宋" w:hAnsi="仿宋" w:eastAsia="仿宋" w:cs="仿宋"/>
          <w:spacing w:val="-3"/>
          <w:sz w:val="31"/>
          <w:szCs w:val="31"/>
        </w:rPr>
        <w:t>生产要素重组，升级矿山开采、选矿、加工工艺、技术装备，</w:t>
      </w:r>
      <w:r>
        <w:rPr>
          <w:rFonts w:ascii="仿宋" w:hAnsi="仿宋" w:eastAsia="仿宋" w:cs="仿宋"/>
          <w:spacing w:val="11"/>
          <w:sz w:val="31"/>
          <w:szCs w:val="31"/>
        </w:rPr>
        <w:t>强化</w:t>
      </w:r>
      <w:r>
        <w:rPr>
          <w:rFonts w:ascii="仿宋" w:hAnsi="仿宋" w:eastAsia="仿宋" w:cs="仿宋"/>
          <w:spacing w:val="-93"/>
          <w:sz w:val="31"/>
          <w:szCs w:val="31"/>
        </w:rPr>
        <w:t xml:space="preserve"> </w:t>
      </w:r>
      <w:r>
        <w:rPr>
          <w:rFonts w:ascii="仿宋" w:hAnsi="仿宋" w:eastAsia="仿宋" w:cs="仿宋"/>
          <w:spacing w:val="11"/>
          <w:sz w:val="31"/>
          <w:szCs w:val="31"/>
        </w:rPr>
        <w:t>“</w:t>
      </w:r>
      <w:r>
        <w:rPr>
          <w:rFonts w:ascii="仿宋" w:hAnsi="仿宋" w:eastAsia="仿宋" w:cs="仿宋"/>
          <w:spacing w:val="-120"/>
          <w:sz w:val="31"/>
          <w:szCs w:val="31"/>
        </w:rPr>
        <w:t xml:space="preserve"> </w:t>
      </w:r>
      <w:r>
        <w:rPr>
          <w:rFonts w:ascii="仿宋" w:hAnsi="仿宋" w:eastAsia="仿宋" w:cs="仿宋"/>
          <w:spacing w:val="11"/>
          <w:sz w:val="31"/>
          <w:szCs w:val="31"/>
        </w:rPr>
        <w:t>互联网+”思维，推动大数据、物联网等新一代信息</w:t>
      </w:r>
      <w:r>
        <w:rPr>
          <w:rFonts w:ascii="仿宋" w:hAnsi="仿宋" w:eastAsia="仿宋" w:cs="仿宋"/>
          <w:spacing w:val="7"/>
          <w:sz w:val="31"/>
          <w:szCs w:val="31"/>
        </w:rPr>
        <w:t>技术与矿产勘查、矿业开发等产业的融合，大力开展</w:t>
      </w:r>
      <w:r>
        <w:rPr>
          <w:rFonts w:ascii="仿宋" w:hAnsi="仿宋" w:eastAsia="仿宋" w:cs="仿宋"/>
          <w:spacing w:val="-109"/>
          <w:sz w:val="31"/>
          <w:szCs w:val="31"/>
        </w:rPr>
        <w:t xml:space="preserve"> </w:t>
      </w:r>
      <w:r>
        <w:rPr>
          <w:rFonts w:ascii="仿宋" w:hAnsi="仿宋" w:eastAsia="仿宋" w:cs="仿宋"/>
          <w:spacing w:val="7"/>
          <w:sz w:val="31"/>
          <w:szCs w:val="31"/>
        </w:rPr>
        <w:t>“数字</w:t>
      </w:r>
      <w:r>
        <w:rPr>
          <w:rFonts w:ascii="仿宋" w:hAnsi="仿宋" w:eastAsia="仿宋" w:cs="仿宋"/>
          <w:spacing w:val="9"/>
          <w:sz w:val="31"/>
          <w:szCs w:val="31"/>
        </w:rPr>
        <w:t>矿山”建设，包括智能化、数字化、机械化采</w:t>
      </w:r>
      <w:r>
        <w:rPr>
          <w:rFonts w:ascii="仿宋" w:hAnsi="仿宋" w:eastAsia="仿宋" w:cs="仿宋"/>
          <w:spacing w:val="8"/>
          <w:sz w:val="31"/>
          <w:szCs w:val="31"/>
        </w:rPr>
        <w:t>矿技术，提高</w:t>
      </w:r>
      <w:r>
        <w:rPr>
          <w:rFonts w:ascii="仿宋" w:hAnsi="仿宋" w:eastAsia="仿宋" w:cs="仿宋"/>
          <w:spacing w:val="13"/>
          <w:sz w:val="31"/>
          <w:szCs w:val="31"/>
        </w:rPr>
        <w:t>劳动力素质及安全</w:t>
      </w:r>
      <w:r>
        <w:rPr>
          <w:rFonts w:ascii="仿宋" w:hAnsi="仿宋" w:eastAsia="仿宋" w:cs="仿宋"/>
          <w:spacing w:val="58"/>
          <w:sz w:val="31"/>
          <w:szCs w:val="31"/>
        </w:rPr>
        <w:t xml:space="preserve"> </w:t>
      </w:r>
      <w:r>
        <w:rPr>
          <w:rFonts w:ascii="仿宋" w:hAnsi="仿宋" w:eastAsia="仿宋" w:cs="仿宋"/>
          <w:spacing w:val="13"/>
          <w:sz w:val="31"/>
          <w:szCs w:val="31"/>
        </w:rPr>
        <w:t>生产能力，高效利用矿产资源。积极推</w:t>
      </w:r>
      <w:r>
        <w:rPr>
          <w:rFonts w:ascii="仿宋" w:hAnsi="仿宋" w:eastAsia="仿宋" w:cs="仿宋"/>
          <w:spacing w:val="9"/>
          <w:sz w:val="31"/>
          <w:szCs w:val="31"/>
        </w:rPr>
        <w:t>进大宗矿产品加工的技术和产业升级。鼓励矿</w:t>
      </w:r>
      <w:r>
        <w:rPr>
          <w:rFonts w:ascii="仿宋" w:hAnsi="仿宋" w:eastAsia="仿宋" w:cs="仿宋"/>
          <w:spacing w:val="8"/>
          <w:sz w:val="31"/>
          <w:szCs w:val="31"/>
        </w:rPr>
        <w:t>山企业研究开</w:t>
      </w:r>
      <w:r>
        <w:rPr>
          <w:rFonts w:ascii="仿宋" w:hAnsi="仿宋" w:eastAsia="仿宋" w:cs="仿宋"/>
          <w:spacing w:val="9"/>
          <w:sz w:val="31"/>
          <w:szCs w:val="31"/>
        </w:rPr>
        <w:t>发共伴生矿产高效节能分离提取和综合利用技</w:t>
      </w:r>
      <w:r>
        <w:rPr>
          <w:rFonts w:ascii="仿宋" w:hAnsi="仿宋" w:eastAsia="仿宋" w:cs="仿宋"/>
          <w:spacing w:val="8"/>
          <w:sz w:val="31"/>
          <w:szCs w:val="31"/>
        </w:rPr>
        <w:t>术，提高资源</w:t>
      </w:r>
      <w:r>
        <w:rPr>
          <w:rFonts w:ascii="仿宋" w:hAnsi="仿宋" w:eastAsia="仿宋" w:cs="仿宋"/>
          <w:spacing w:val="5"/>
          <w:sz w:val="31"/>
          <w:szCs w:val="31"/>
        </w:rPr>
        <w:t>综合利用水平。发展和推广</w:t>
      </w:r>
      <w:r>
        <w:rPr>
          <w:rFonts w:ascii="仿宋" w:hAnsi="仿宋" w:eastAsia="仿宋" w:cs="仿宋"/>
          <w:spacing w:val="-93"/>
          <w:sz w:val="31"/>
          <w:szCs w:val="31"/>
        </w:rPr>
        <w:t xml:space="preserve"> </w:t>
      </w:r>
      <w:r>
        <w:rPr>
          <w:rFonts w:ascii="仿宋" w:hAnsi="仿宋" w:eastAsia="仿宋" w:cs="仿宋"/>
          <w:spacing w:val="5"/>
          <w:sz w:val="31"/>
          <w:szCs w:val="31"/>
        </w:rPr>
        <w:t>“</w:t>
      </w:r>
      <w:r>
        <w:rPr>
          <w:rFonts w:ascii="仿宋" w:hAnsi="仿宋" w:eastAsia="仿宋" w:cs="仿宋"/>
          <w:spacing w:val="-119"/>
          <w:sz w:val="31"/>
          <w:szCs w:val="31"/>
        </w:rPr>
        <w:t xml:space="preserve"> </w:t>
      </w:r>
      <w:r>
        <w:rPr>
          <w:rFonts w:ascii="仿宋" w:hAnsi="仿宋" w:eastAsia="仿宋" w:cs="仿宋"/>
          <w:spacing w:val="5"/>
          <w:sz w:val="31"/>
          <w:szCs w:val="31"/>
        </w:rPr>
        <w:t>三废”治理与综合利用技术，</w:t>
      </w:r>
      <w:r>
        <w:rPr>
          <w:rFonts w:ascii="仿宋" w:hAnsi="仿宋" w:eastAsia="仿宋" w:cs="仿宋"/>
          <w:spacing w:val="8"/>
          <w:sz w:val="31"/>
          <w:szCs w:val="31"/>
        </w:rPr>
        <w:t>因矿制宜地进行资源化利用和无害化处理，改善矿山环境。</w:t>
      </w:r>
    </w:p>
    <w:p w14:paraId="3185A76A">
      <w:pPr>
        <w:spacing w:before="3" w:line="321" w:lineRule="auto"/>
        <w:ind w:left="36" w:right="16" w:firstLine="631"/>
        <w:jc w:val="both"/>
        <w:rPr>
          <w:rFonts w:ascii="仿宋" w:hAnsi="仿宋" w:eastAsia="仿宋" w:cs="仿宋"/>
          <w:sz w:val="31"/>
          <w:szCs w:val="31"/>
        </w:rPr>
      </w:pPr>
      <w:r>
        <w:rPr>
          <w:rFonts w:ascii="微软雅黑" w:hAnsi="微软雅黑" w:eastAsia="微软雅黑" w:cs="微软雅黑"/>
          <w:spacing w:val="7"/>
          <w:sz w:val="31"/>
          <w:szCs w:val="31"/>
        </w:rPr>
        <w:t>矿政管理信息化与服务水平不断提升</w:t>
      </w:r>
      <w:r>
        <w:rPr>
          <w:rFonts w:ascii="微软雅黑" w:hAnsi="微软雅黑" w:eastAsia="微软雅黑" w:cs="微软雅黑"/>
          <w:spacing w:val="-51"/>
          <w:sz w:val="31"/>
          <w:szCs w:val="31"/>
        </w:rPr>
        <w:t xml:space="preserve"> </w:t>
      </w:r>
      <w:r>
        <w:rPr>
          <w:rFonts w:ascii="微软雅黑" w:hAnsi="微软雅黑" w:eastAsia="微软雅黑" w:cs="微软雅黑"/>
          <w:spacing w:val="7"/>
          <w:sz w:val="31"/>
          <w:szCs w:val="31"/>
        </w:rPr>
        <w:t>。</w:t>
      </w:r>
      <w:r>
        <w:rPr>
          <w:rFonts w:ascii="仿宋" w:hAnsi="仿宋" w:eastAsia="仿宋" w:cs="仿宋"/>
          <w:spacing w:val="7"/>
          <w:sz w:val="31"/>
          <w:szCs w:val="31"/>
        </w:rPr>
        <w:t>全面推进矿</w:t>
      </w:r>
      <w:r>
        <w:rPr>
          <w:rFonts w:ascii="仿宋" w:hAnsi="仿宋" w:eastAsia="仿宋" w:cs="仿宋"/>
          <w:spacing w:val="6"/>
          <w:sz w:val="31"/>
          <w:szCs w:val="31"/>
        </w:rPr>
        <w:t>产资</w:t>
      </w:r>
      <w:r>
        <w:rPr>
          <w:rFonts w:ascii="仿宋" w:hAnsi="仿宋" w:eastAsia="仿宋" w:cs="仿宋"/>
          <w:spacing w:val="8"/>
          <w:sz w:val="31"/>
          <w:szCs w:val="31"/>
        </w:rPr>
        <w:t>源管理体制机制改革，行政审批效率进一步提高。提高矿产</w:t>
      </w:r>
    </w:p>
    <w:p w14:paraId="6F029D43">
      <w:pPr>
        <w:spacing w:line="321" w:lineRule="auto"/>
        <w:rPr>
          <w:rFonts w:ascii="仿宋" w:hAnsi="仿宋" w:eastAsia="仿宋" w:cs="仿宋"/>
          <w:sz w:val="31"/>
          <w:szCs w:val="31"/>
        </w:rPr>
        <w:sectPr>
          <w:footerReference r:id="rId20" w:type="default"/>
          <w:pgSz w:w="11904" w:h="16835"/>
          <w:pgMar w:top="1430" w:right="1785" w:bottom="1289" w:left="1785" w:header="0" w:footer="920" w:gutter="0"/>
          <w:cols w:space="720" w:num="1"/>
        </w:sectPr>
      </w:pPr>
    </w:p>
    <w:p w14:paraId="0D4A0647">
      <w:pPr>
        <w:spacing w:before="130" w:line="372" w:lineRule="auto"/>
        <w:ind w:left="30" w:right="16" w:firstLine="9"/>
        <w:jc w:val="both"/>
        <w:rPr>
          <w:rFonts w:ascii="仿宋" w:hAnsi="仿宋" w:eastAsia="仿宋" w:cs="仿宋"/>
          <w:sz w:val="31"/>
          <w:szCs w:val="31"/>
        </w:rPr>
      </w:pPr>
      <w:r>
        <w:rPr>
          <w:rFonts w:ascii="仿宋" w:hAnsi="仿宋" w:eastAsia="仿宋" w:cs="仿宋"/>
          <w:spacing w:val="8"/>
          <w:sz w:val="31"/>
          <w:szCs w:val="31"/>
        </w:rPr>
        <w:t>资源信息化程度，利用矿产资源国情调查成果，摸清资源家底，持续做好矿山储量动态监管与矿产资源储量管理动态更</w:t>
      </w:r>
      <w:r>
        <w:rPr>
          <w:rFonts w:ascii="仿宋" w:hAnsi="仿宋" w:eastAsia="仿宋" w:cs="仿宋"/>
          <w:spacing w:val="4"/>
          <w:sz w:val="31"/>
          <w:szCs w:val="31"/>
        </w:rPr>
        <w:t>新工作，清晰准确建立资源家底台账。</w:t>
      </w:r>
      <w:r>
        <w:rPr>
          <w:rFonts w:ascii="仿宋" w:hAnsi="仿宋" w:eastAsia="仿宋" w:cs="仿宋"/>
          <w:spacing w:val="-85"/>
          <w:sz w:val="31"/>
          <w:szCs w:val="31"/>
        </w:rPr>
        <w:t xml:space="preserve"> </w:t>
      </w:r>
      <w:r>
        <w:rPr>
          <w:rFonts w:ascii="仿宋" w:hAnsi="仿宋" w:eastAsia="仿宋" w:cs="仿宋"/>
          <w:spacing w:val="4"/>
          <w:sz w:val="31"/>
          <w:szCs w:val="31"/>
        </w:rPr>
        <w:t>“净矿”</w:t>
      </w:r>
      <w:r>
        <w:rPr>
          <w:rFonts w:ascii="仿宋" w:hAnsi="仿宋" w:eastAsia="仿宋" w:cs="仿宋"/>
          <w:spacing w:val="-102"/>
          <w:sz w:val="31"/>
          <w:szCs w:val="31"/>
        </w:rPr>
        <w:t xml:space="preserve"> </w:t>
      </w:r>
      <w:r>
        <w:rPr>
          <w:rFonts w:ascii="仿宋" w:hAnsi="仿宋" w:eastAsia="仿宋" w:cs="仿宋"/>
          <w:spacing w:val="4"/>
          <w:sz w:val="31"/>
          <w:szCs w:val="31"/>
        </w:rPr>
        <w:t>出让</w:t>
      </w:r>
      <w:r>
        <w:rPr>
          <w:rFonts w:ascii="仿宋" w:hAnsi="仿宋" w:eastAsia="仿宋" w:cs="仿宋"/>
          <w:spacing w:val="3"/>
          <w:sz w:val="31"/>
          <w:szCs w:val="31"/>
        </w:rPr>
        <w:t>取得一</w:t>
      </w:r>
      <w:r>
        <w:rPr>
          <w:rFonts w:ascii="仿宋" w:hAnsi="仿宋" w:eastAsia="仿宋" w:cs="仿宋"/>
          <w:spacing w:val="6"/>
          <w:sz w:val="31"/>
          <w:szCs w:val="31"/>
        </w:rPr>
        <w:t>定成效，</w:t>
      </w:r>
      <w:r>
        <w:rPr>
          <w:rFonts w:ascii="仿宋" w:hAnsi="仿宋" w:eastAsia="仿宋" w:cs="仿宋"/>
          <w:spacing w:val="-87"/>
          <w:sz w:val="31"/>
          <w:szCs w:val="31"/>
        </w:rPr>
        <w:t xml:space="preserve"> </w:t>
      </w:r>
      <w:r>
        <w:rPr>
          <w:rFonts w:ascii="仿宋" w:hAnsi="仿宋" w:eastAsia="仿宋" w:cs="仿宋"/>
          <w:spacing w:val="6"/>
          <w:sz w:val="31"/>
          <w:szCs w:val="31"/>
        </w:rPr>
        <w:t>出让收益征收、分配机制更趋合理。基本完成矿业</w:t>
      </w:r>
      <w:r>
        <w:rPr>
          <w:rFonts w:ascii="仿宋" w:hAnsi="仿宋" w:eastAsia="仿宋" w:cs="仿宋"/>
          <w:spacing w:val="8"/>
          <w:sz w:val="31"/>
          <w:szCs w:val="31"/>
        </w:rPr>
        <w:t>权市场和公共服务的信息化建设，矿产资源管理水平得到较</w:t>
      </w:r>
      <w:r>
        <w:rPr>
          <w:rFonts w:ascii="仿宋" w:hAnsi="仿宋" w:eastAsia="仿宋" w:cs="仿宋"/>
          <w:spacing w:val="5"/>
          <w:sz w:val="31"/>
          <w:szCs w:val="31"/>
        </w:rPr>
        <w:t>大幅度提高。</w:t>
      </w:r>
    </w:p>
    <w:p w14:paraId="2F20F5CF">
      <w:pPr>
        <w:spacing w:before="1" w:line="225" w:lineRule="auto"/>
        <w:ind w:left="669"/>
        <w:rPr>
          <w:rFonts w:ascii="黑体" w:hAnsi="黑体" w:eastAsia="黑体" w:cs="黑体"/>
          <w:sz w:val="31"/>
          <w:szCs w:val="31"/>
        </w:rPr>
      </w:pPr>
      <w:r>
        <w:rPr>
          <w:rFonts w:ascii="黑体" w:hAnsi="黑体" w:eastAsia="黑体" w:cs="黑体"/>
          <w:spacing w:val="3"/>
          <w:sz w:val="31"/>
          <w:szCs w:val="31"/>
        </w:rPr>
        <w:t>二、2035</w:t>
      </w:r>
      <w:r>
        <w:rPr>
          <w:rFonts w:ascii="黑体" w:hAnsi="黑体" w:eastAsia="黑体" w:cs="黑体"/>
          <w:spacing w:val="-53"/>
          <w:sz w:val="31"/>
          <w:szCs w:val="31"/>
        </w:rPr>
        <w:t xml:space="preserve"> </w:t>
      </w:r>
      <w:r>
        <w:rPr>
          <w:rFonts w:ascii="黑体" w:hAnsi="黑体" w:eastAsia="黑体" w:cs="黑体"/>
          <w:spacing w:val="3"/>
          <w:sz w:val="31"/>
          <w:szCs w:val="31"/>
        </w:rPr>
        <w:t>年展望</w:t>
      </w:r>
    </w:p>
    <w:p w14:paraId="469CF514">
      <w:pPr>
        <w:spacing w:before="246" w:line="372" w:lineRule="auto"/>
        <w:ind w:left="26" w:right="16" w:firstLine="651"/>
        <w:jc w:val="both"/>
        <w:rPr>
          <w:rFonts w:ascii="仿宋" w:hAnsi="仿宋" w:eastAsia="仿宋" w:cs="仿宋"/>
          <w:sz w:val="31"/>
          <w:szCs w:val="31"/>
        </w:rPr>
      </w:pPr>
      <w:r>
        <w:rPr>
          <w:rFonts w:ascii="仿宋" w:hAnsi="仿宋" w:eastAsia="仿宋" w:cs="仿宋"/>
          <w:spacing w:val="11"/>
          <w:sz w:val="31"/>
          <w:szCs w:val="31"/>
        </w:rPr>
        <w:t>到</w:t>
      </w:r>
      <w:r>
        <w:rPr>
          <w:rFonts w:ascii="仿宋" w:hAnsi="仿宋" w:eastAsia="仿宋" w:cs="仿宋"/>
          <w:spacing w:val="-21"/>
          <w:sz w:val="31"/>
          <w:szCs w:val="31"/>
        </w:rPr>
        <w:t xml:space="preserve"> </w:t>
      </w:r>
      <w:r>
        <w:rPr>
          <w:rFonts w:ascii="仿宋" w:hAnsi="仿宋" w:eastAsia="仿宋" w:cs="仿宋"/>
          <w:spacing w:val="11"/>
          <w:sz w:val="31"/>
          <w:szCs w:val="31"/>
        </w:rPr>
        <w:t>2035</w:t>
      </w:r>
      <w:r>
        <w:rPr>
          <w:rFonts w:ascii="仿宋" w:hAnsi="仿宋" w:eastAsia="仿宋" w:cs="仿宋"/>
          <w:spacing w:val="-58"/>
          <w:sz w:val="31"/>
          <w:szCs w:val="31"/>
        </w:rPr>
        <w:t xml:space="preserve"> </w:t>
      </w:r>
      <w:r>
        <w:rPr>
          <w:rFonts w:ascii="仿宋" w:hAnsi="仿宋" w:eastAsia="仿宋" w:cs="仿宋"/>
          <w:spacing w:val="11"/>
          <w:sz w:val="31"/>
          <w:szCs w:val="31"/>
        </w:rPr>
        <w:t>年，全州优势矿产资源储量平稳上升，战略性</w:t>
      </w:r>
      <w:r>
        <w:rPr>
          <w:rFonts w:ascii="仿宋" w:hAnsi="仿宋" w:eastAsia="仿宋" w:cs="仿宋"/>
          <w:spacing w:val="9"/>
          <w:sz w:val="31"/>
          <w:szCs w:val="31"/>
        </w:rPr>
        <w:t>锂矿资源家底清晰明确，安全保障进一步提高</w:t>
      </w:r>
      <w:r>
        <w:rPr>
          <w:rFonts w:ascii="仿宋" w:hAnsi="仿宋" w:eastAsia="仿宋" w:cs="仿宋"/>
          <w:spacing w:val="8"/>
          <w:sz w:val="31"/>
          <w:szCs w:val="31"/>
        </w:rPr>
        <w:t>，金矿资源储</w:t>
      </w:r>
      <w:r>
        <w:rPr>
          <w:rFonts w:ascii="仿宋" w:hAnsi="仿宋" w:eastAsia="仿宋" w:cs="仿宋"/>
          <w:spacing w:val="9"/>
          <w:sz w:val="31"/>
          <w:szCs w:val="31"/>
        </w:rPr>
        <w:t>量稳步提升。矿产资源勘查开发利用结构和空</w:t>
      </w:r>
      <w:r>
        <w:rPr>
          <w:rFonts w:ascii="仿宋" w:hAnsi="仿宋" w:eastAsia="仿宋" w:cs="仿宋"/>
          <w:spacing w:val="8"/>
          <w:sz w:val="31"/>
          <w:szCs w:val="31"/>
        </w:rPr>
        <w:t>间布局进一步</w:t>
      </w:r>
      <w:r>
        <w:rPr>
          <w:rFonts w:ascii="仿宋" w:hAnsi="仿宋" w:eastAsia="仿宋" w:cs="仿宋"/>
          <w:spacing w:val="9"/>
          <w:sz w:val="31"/>
          <w:szCs w:val="31"/>
        </w:rPr>
        <w:t>优化，矿产资源开发利用保护与生态保护协调</w:t>
      </w:r>
      <w:r>
        <w:rPr>
          <w:rFonts w:ascii="仿宋" w:hAnsi="仿宋" w:eastAsia="仿宋" w:cs="仿宋"/>
          <w:spacing w:val="8"/>
          <w:sz w:val="31"/>
          <w:szCs w:val="31"/>
        </w:rPr>
        <w:t>发展。锂资源</w:t>
      </w:r>
      <w:r>
        <w:rPr>
          <w:rFonts w:ascii="仿宋" w:hAnsi="仿宋" w:eastAsia="仿宋" w:cs="仿宋"/>
          <w:spacing w:val="9"/>
          <w:sz w:val="31"/>
          <w:szCs w:val="31"/>
        </w:rPr>
        <w:t>综合利用产业集群和示范基地基本形成，矿政</w:t>
      </w:r>
      <w:r>
        <w:rPr>
          <w:rFonts w:ascii="仿宋" w:hAnsi="仿宋" w:eastAsia="仿宋" w:cs="仿宋"/>
          <w:spacing w:val="8"/>
          <w:sz w:val="31"/>
          <w:szCs w:val="31"/>
        </w:rPr>
        <w:t>管理体制更加</w:t>
      </w:r>
      <w:r>
        <w:rPr>
          <w:rFonts w:ascii="仿宋" w:hAnsi="仿宋" w:eastAsia="仿宋" w:cs="仿宋"/>
          <w:spacing w:val="1"/>
          <w:sz w:val="31"/>
          <w:szCs w:val="31"/>
        </w:rPr>
        <w:t>完善。</w:t>
      </w:r>
    </w:p>
    <w:p w14:paraId="670E2A72">
      <w:pPr>
        <w:spacing w:line="372" w:lineRule="auto"/>
        <w:rPr>
          <w:rFonts w:ascii="仿宋" w:hAnsi="仿宋" w:eastAsia="仿宋" w:cs="仿宋"/>
          <w:sz w:val="31"/>
          <w:szCs w:val="31"/>
        </w:rPr>
        <w:sectPr>
          <w:footerReference r:id="rId21" w:type="default"/>
          <w:pgSz w:w="11904" w:h="16835"/>
          <w:pgMar w:top="1430" w:right="1785" w:bottom="1289" w:left="1785" w:header="0" w:footer="923" w:gutter="0"/>
          <w:cols w:space="720" w:num="1"/>
        </w:sectPr>
      </w:pPr>
    </w:p>
    <w:p w14:paraId="36CB5068">
      <w:pPr>
        <w:pStyle w:val="2"/>
        <w:spacing w:line="291" w:lineRule="auto"/>
      </w:pPr>
    </w:p>
    <w:p w14:paraId="1207BB2F">
      <w:pPr>
        <w:spacing w:before="101" w:line="225" w:lineRule="auto"/>
        <w:ind w:left="1777"/>
        <w:outlineLvl w:val="0"/>
        <w:rPr>
          <w:rFonts w:ascii="黑体" w:hAnsi="黑体" w:eastAsia="黑体" w:cs="黑体"/>
          <w:sz w:val="31"/>
          <w:szCs w:val="31"/>
        </w:rPr>
      </w:pPr>
      <w:bookmarkStart w:id="14" w:name="bookmark11"/>
      <w:bookmarkEnd w:id="14"/>
      <w:bookmarkStart w:id="15" w:name="bookmark12"/>
      <w:bookmarkEnd w:id="15"/>
      <w:r>
        <w:rPr>
          <w:rFonts w:ascii="黑体" w:hAnsi="黑体" w:eastAsia="黑体" w:cs="黑体"/>
          <w:spacing w:val="8"/>
          <w:sz w:val="31"/>
          <w:szCs w:val="31"/>
        </w:rPr>
        <w:t>第三章  优化矿产勘查与开发布局</w:t>
      </w:r>
    </w:p>
    <w:p w14:paraId="31D36394">
      <w:pPr>
        <w:pStyle w:val="2"/>
        <w:spacing w:line="386" w:lineRule="auto"/>
      </w:pPr>
    </w:p>
    <w:p w14:paraId="7DA64C86">
      <w:pPr>
        <w:spacing w:before="133" w:line="321" w:lineRule="exact"/>
        <w:ind w:left="1338"/>
        <w:outlineLvl w:val="0"/>
        <w:rPr>
          <w:rFonts w:ascii="微软雅黑" w:hAnsi="微软雅黑" w:eastAsia="微软雅黑" w:cs="微软雅黑"/>
          <w:sz w:val="31"/>
          <w:szCs w:val="31"/>
        </w:rPr>
      </w:pPr>
      <w:bookmarkStart w:id="16" w:name="bookmark33"/>
      <w:bookmarkEnd w:id="16"/>
      <w:r>
        <w:rPr>
          <w:rFonts w:ascii="微软雅黑" w:hAnsi="微软雅黑" w:eastAsia="微软雅黑" w:cs="微软雅黑"/>
          <w:position w:val="-1"/>
          <w:sz w:val="31"/>
          <w:szCs w:val="31"/>
        </w:rPr>
        <w:t>第</w:t>
      </w:r>
      <w:r>
        <w:rPr>
          <w:rFonts w:ascii="微软雅黑" w:hAnsi="微软雅黑" w:eastAsia="微软雅黑" w:cs="微软雅黑"/>
          <w:spacing w:val="-50"/>
          <w:position w:val="-1"/>
          <w:sz w:val="31"/>
          <w:szCs w:val="31"/>
        </w:rPr>
        <w:t xml:space="preserve"> </w:t>
      </w:r>
      <w:r>
        <w:rPr>
          <w:rFonts w:ascii="微软雅黑" w:hAnsi="微软雅黑" w:eastAsia="微软雅黑" w:cs="微软雅黑"/>
          <w:position w:val="-1"/>
          <w:sz w:val="31"/>
          <w:szCs w:val="31"/>
        </w:rPr>
        <w:t>一节  生态保护优先</w:t>
      </w:r>
      <w:r>
        <w:rPr>
          <w:rFonts w:ascii="微软雅黑" w:hAnsi="微软雅黑" w:eastAsia="微软雅黑" w:cs="微软雅黑"/>
          <w:spacing w:val="80"/>
          <w:w w:val="101"/>
          <w:position w:val="-1"/>
          <w:sz w:val="31"/>
          <w:szCs w:val="31"/>
        </w:rPr>
        <w:t xml:space="preserve"> </w:t>
      </w:r>
      <w:r>
        <w:rPr>
          <w:rFonts w:ascii="微软雅黑" w:hAnsi="微软雅黑" w:eastAsia="微软雅黑" w:cs="微软雅黑"/>
          <w:position w:val="-1"/>
          <w:sz w:val="31"/>
          <w:szCs w:val="31"/>
        </w:rPr>
        <w:t>优化勘查开发保护格局</w:t>
      </w:r>
    </w:p>
    <w:p w14:paraId="7A011EEA">
      <w:pPr>
        <w:pStyle w:val="2"/>
      </w:pPr>
    </w:p>
    <w:p w14:paraId="1CBF3274">
      <w:pPr>
        <w:pStyle w:val="2"/>
      </w:pPr>
    </w:p>
    <w:p w14:paraId="0899B725">
      <w:pPr>
        <w:spacing w:before="101" w:line="371" w:lineRule="auto"/>
        <w:ind w:left="25" w:right="9" w:firstLine="672"/>
        <w:rPr>
          <w:rFonts w:ascii="仿宋" w:hAnsi="仿宋" w:eastAsia="仿宋" w:cs="仿宋"/>
          <w:sz w:val="31"/>
          <w:szCs w:val="31"/>
        </w:rPr>
      </w:pPr>
      <w:r>
        <w:rPr>
          <w:rFonts w:ascii="仿宋" w:hAnsi="仿宋" w:eastAsia="仿宋" w:cs="仿宋"/>
          <w:spacing w:val="14"/>
          <w:sz w:val="31"/>
          <w:szCs w:val="31"/>
        </w:rPr>
        <w:t>坚定贯彻习近平生态文明思想，持续深化</w:t>
      </w:r>
      <w:r>
        <w:rPr>
          <w:rFonts w:ascii="Times New Roman" w:hAnsi="Times New Roman" w:eastAsia="Times New Roman" w:cs="Times New Roman"/>
          <w:spacing w:val="14"/>
          <w:sz w:val="31"/>
          <w:szCs w:val="31"/>
        </w:rPr>
        <w:t>“</w:t>
      </w:r>
      <w:r>
        <w:rPr>
          <w:rFonts w:ascii="Times New Roman" w:hAnsi="Times New Roman" w:eastAsia="Times New Roman" w:cs="Times New Roman"/>
          <w:spacing w:val="-36"/>
          <w:sz w:val="31"/>
          <w:szCs w:val="31"/>
        </w:rPr>
        <w:t xml:space="preserve"> </w:t>
      </w:r>
      <w:r>
        <w:rPr>
          <w:rFonts w:ascii="仿宋" w:hAnsi="仿宋" w:eastAsia="仿宋" w:cs="仿宋"/>
          <w:spacing w:val="14"/>
          <w:sz w:val="31"/>
          <w:szCs w:val="31"/>
        </w:rPr>
        <w:t>一屏四</w:t>
      </w:r>
      <w:r>
        <w:rPr>
          <w:rFonts w:ascii="仿宋" w:hAnsi="仿宋" w:eastAsia="仿宋" w:cs="仿宋"/>
          <w:spacing w:val="13"/>
          <w:sz w:val="31"/>
          <w:szCs w:val="31"/>
        </w:rPr>
        <w:t>带、</w:t>
      </w:r>
      <w:r>
        <w:rPr>
          <w:rFonts w:ascii="仿宋" w:hAnsi="仿宋" w:eastAsia="仿宋" w:cs="仿宋"/>
          <w:spacing w:val="11"/>
          <w:sz w:val="31"/>
          <w:szCs w:val="31"/>
        </w:rPr>
        <w:t>全域生态</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14"/>
          <w:sz w:val="31"/>
          <w:szCs w:val="31"/>
        </w:rPr>
        <w:t xml:space="preserve"> </w:t>
      </w:r>
      <w:r>
        <w:rPr>
          <w:rFonts w:ascii="仿宋" w:hAnsi="仿宋" w:eastAsia="仿宋" w:cs="仿宋"/>
          <w:spacing w:val="11"/>
          <w:sz w:val="31"/>
          <w:szCs w:val="31"/>
        </w:rPr>
        <w:t>战略，大力推进</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32"/>
          <w:sz w:val="31"/>
          <w:szCs w:val="31"/>
        </w:rPr>
        <w:t xml:space="preserve"> </w:t>
      </w:r>
      <w:r>
        <w:rPr>
          <w:rFonts w:ascii="仿宋" w:hAnsi="仿宋" w:eastAsia="仿宋" w:cs="仿宋"/>
          <w:spacing w:val="11"/>
          <w:sz w:val="31"/>
          <w:szCs w:val="31"/>
        </w:rPr>
        <w:t>一增一减</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56"/>
          <w:sz w:val="31"/>
          <w:szCs w:val="31"/>
        </w:rPr>
        <w:t xml:space="preserve"> </w:t>
      </w:r>
      <w:r>
        <w:rPr>
          <w:rFonts w:ascii="仿宋" w:hAnsi="仿宋" w:eastAsia="仿宋" w:cs="仿宋"/>
          <w:spacing w:val="11"/>
          <w:sz w:val="31"/>
          <w:szCs w:val="31"/>
        </w:rPr>
        <w:t>措施，走出一条人与</w:t>
      </w:r>
      <w:r>
        <w:rPr>
          <w:rFonts w:ascii="仿宋" w:hAnsi="仿宋" w:eastAsia="仿宋" w:cs="仿宋"/>
          <w:spacing w:val="10"/>
          <w:sz w:val="31"/>
          <w:szCs w:val="31"/>
        </w:rPr>
        <w:t>自然和谐共生的现代化生态文明之路，加快建设</w:t>
      </w:r>
      <w:r>
        <w:rPr>
          <w:rFonts w:ascii="仿宋" w:hAnsi="仿宋" w:eastAsia="仿宋" w:cs="仿宋"/>
          <w:spacing w:val="9"/>
          <w:sz w:val="31"/>
          <w:szCs w:val="31"/>
        </w:rPr>
        <w:t>美丽阿坝，</w:t>
      </w:r>
      <w:r>
        <w:rPr>
          <w:rFonts w:ascii="仿宋" w:hAnsi="仿宋" w:eastAsia="仿宋" w:cs="仿宋"/>
          <w:spacing w:val="21"/>
          <w:sz w:val="31"/>
          <w:szCs w:val="31"/>
        </w:rPr>
        <w:t>筑牢长江黄河上游生态安全屏障，建成国家生态文明建设</w:t>
      </w:r>
      <w:r>
        <w:rPr>
          <w:rFonts w:ascii="仿宋" w:hAnsi="仿宋" w:eastAsia="仿宋" w:cs="仿宋"/>
          <w:spacing w:val="6"/>
          <w:sz w:val="31"/>
          <w:szCs w:val="31"/>
        </w:rPr>
        <w:t>示范区，以</w:t>
      </w:r>
      <w:r>
        <w:rPr>
          <w:rFonts w:ascii="Times New Roman" w:hAnsi="Times New Roman" w:eastAsia="Times New Roman" w:cs="Times New Roman"/>
          <w:spacing w:val="6"/>
          <w:sz w:val="31"/>
          <w:szCs w:val="31"/>
        </w:rPr>
        <w:t>“</w:t>
      </w:r>
      <w:r>
        <w:rPr>
          <w:rFonts w:ascii="Times New Roman" w:hAnsi="Times New Roman" w:eastAsia="Times New Roman" w:cs="Times New Roman"/>
          <w:spacing w:val="-17"/>
          <w:sz w:val="31"/>
          <w:szCs w:val="31"/>
        </w:rPr>
        <w:t xml:space="preserve"> </w:t>
      </w:r>
      <w:r>
        <w:rPr>
          <w:rFonts w:ascii="仿宋" w:hAnsi="仿宋" w:eastAsia="仿宋" w:cs="仿宋"/>
          <w:spacing w:val="6"/>
          <w:sz w:val="31"/>
          <w:szCs w:val="31"/>
        </w:rPr>
        <w:t>一州两区三家园</w:t>
      </w:r>
      <w:r>
        <w:rPr>
          <w:rFonts w:ascii="Times New Roman" w:hAnsi="Times New Roman" w:eastAsia="Times New Roman" w:cs="Times New Roman"/>
          <w:spacing w:val="6"/>
          <w:sz w:val="31"/>
          <w:szCs w:val="31"/>
        </w:rPr>
        <w:t>”</w:t>
      </w:r>
      <w:r>
        <w:rPr>
          <w:rFonts w:ascii="Times New Roman" w:hAnsi="Times New Roman" w:eastAsia="Times New Roman" w:cs="Times New Roman"/>
          <w:spacing w:val="-36"/>
          <w:sz w:val="31"/>
          <w:szCs w:val="31"/>
        </w:rPr>
        <w:t xml:space="preserve"> </w:t>
      </w:r>
      <w:r>
        <w:rPr>
          <w:rFonts w:ascii="仿宋" w:hAnsi="仿宋" w:eastAsia="仿宋" w:cs="仿宋"/>
          <w:spacing w:val="6"/>
          <w:sz w:val="31"/>
          <w:szCs w:val="31"/>
        </w:rPr>
        <w:t>战略新目标为指引，积极推动</w:t>
      </w:r>
      <w:r>
        <w:rPr>
          <w:rFonts w:ascii="仿宋" w:hAnsi="仿宋" w:eastAsia="仿宋" w:cs="仿宋"/>
          <w:spacing w:val="9"/>
          <w:sz w:val="31"/>
          <w:szCs w:val="31"/>
        </w:rPr>
        <w:t>“川西北稀有贵金属勘查开发区”建设，促进生</w:t>
      </w:r>
      <w:r>
        <w:rPr>
          <w:rFonts w:ascii="仿宋" w:hAnsi="仿宋" w:eastAsia="仿宋" w:cs="仿宋"/>
          <w:spacing w:val="8"/>
          <w:sz w:val="31"/>
          <w:szCs w:val="31"/>
        </w:rPr>
        <w:t>态保护与矿产资源勘查开发协调发展。</w:t>
      </w:r>
    </w:p>
    <w:p w14:paraId="4D72B8A0">
      <w:pPr>
        <w:spacing w:before="10" w:line="359" w:lineRule="auto"/>
        <w:ind w:left="21" w:firstLine="639"/>
        <w:jc w:val="both"/>
        <w:rPr>
          <w:rFonts w:ascii="仿宋" w:hAnsi="仿宋" w:eastAsia="仿宋" w:cs="仿宋"/>
          <w:sz w:val="31"/>
          <w:szCs w:val="31"/>
        </w:rPr>
      </w:pPr>
      <w:r>
        <w:rPr>
          <w:rFonts w:ascii="微软雅黑" w:hAnsi="微软雅黑" w:eastAsia="微软雅黑" w:cs="微软雅黑"/>
          <w:spacing w:val="-6"/>
          <w:sz w:val="32"/>
          <w:szCs w:val="32"/>
        </w:rPr>
        <w:t>全力推动可尔因地区锂矿资源勘查</w:t>
      </w:r>
      <w:r>
        <w:rPr>
          <w:rFonts w:ascii="微软雅黑" w:hAnsi="微软雅黑" w:eastAsia="微软雅黑" w:cs="微软雅黑"/>
          <w:spacing w:val="-46"/>
          <w:sz w:val="32"/>
          <w:szCs w:val="32"/>
        </w:rPr>
        <w:t xml:space="preserve"> </w:t>
      </w:r>
      <w:r>
        <w:rPr>
          <w:rFonts w:ascii="微软雅黑" w:hAnsi="微软雅黑" w:eastAsia="微软雅黑" w:cs="微软雅黑"/>
          <w:spacing w:val="-6"/>
          <w:sz w:val="32"/>
          <w:szCs w:val="32"/>
        </w:rPr>
        <w:t>、开发和利用 。</w:t>
      </w:r>
      <w:r>
        <w:rPr>
          <w:rFonts w:ascii="仿宋" w:hAnsi="仿宋" w:eastAsia="仿宋" w:cs="仿宋"/>
          <w:spacing w:val="-6"/>
          <w:sz w:val="31"/>
          <w:szCs w:val="31"/>
        </w:rPr>
        <w:t>建立</w:t>
      </w:r>
      <w:r>
        <w:rPr>
          <w:rFonts w:ascii="仿宋" w:hAnsi="仿宋" w:eastAsia="仿宋" w:cs="仿宋"/>
          <w:spacing w:val="21"/>
          <w:sz w:val="31"/>
          <w:szCs w:val="31"/>
        </w:rPr>
        <w:t>健全合理开发利用资源的新模式和优化资源配置的激励机</w:t>
      </w:r>
      <w:r>
        <w:rPr>
          <w:rFonts w:ascii="仿宋" w:hAnsi="仿宋" w:eastAsia="仿宋" w:cs="仿宋"/>
          <w:spacing w:val="9"/>
          <w:sz w:val="31"/>
          <w:szCs w:val="31"/>
        </w:rPr>
        <w:t>制，形成资源开发利用合理布局的集聚优势，促进我州锂产</w:t>
      </w:r>
      <w:r>
        <w:rPr>
          <w:rFonts w:ascii="仿宋" w:hAnsi="仿宋" w:eastAsia="仿宋" w:cs="仿宋"/>
          <w:spacing w:val="21"/>
          <w:sz w:val="31"/>
          <w:szCs w:val="31"/>
        </w:rPr>
        <w:t>业的可持续健康发展。支持和鼓励区内大中型矿业企业发</w:t>
      </w:r>
      <w:r>
        <w:rPr>
          <w:rFonts w:ascii="仿宋" w:hAnsi="仿宋" w:eastAsia="仿宋" w:cs="仿宋"/>
          <w:spacing w:val="9"/>
          <w:sz w:val="31"/>
          <w:szCs w:val="31"/>
        </w:rPr>
        <w:t>展，引导小型矿山企业联合重组，促进后续冶炼、深加工产业发展，提高产品附加值，促进矿产资源规模勘查开采和产业集聚发展。对示范区内的生产力布局、基础设施建设、资源配置、重大项目设置及相关产业政策等给予重点支持和保障，财政资金优先安排地质勘查项目、矿产资源节约与综合</w:t>
      </w:r>
      <w:r>
        <w:rPr>
          <w:rFonts w:ascii="仿宋" w:hAnsi="仿宋" w:eastAsia="仿宋" w:cs="仿宋"/>
          <w:spacing w:val="-2"/>
          <w:sz w:val="31"/>
          <w:szCs w:val="31"/>
        </w:rPr>
        <w:t>利用、矿山地质环境治理恢复、工矿废弃地复垦等专项项目，</w:t>
      </w:r>
      <w:r>
        <w:rPr>
          <w:rFonts w:ascii="仿宋" w:hAnsi="仿宋" w:eastAsia="仿宋" w:cs="仿宋"/>
          <w:spacing w:val="8"/>
          <w:sz w:val="31"/>
          <w:szCs w:val="31"/>
        </w:rPr>
        <w:t>稳步有序推进锂资源基地建设。</w:t>
      </w:r>
    </w:p>
    <w:p w14:paraId="3CBD561B">
      <w:pPr>
        <w:spacing w:line="194" w:lineRule="auto"/>
        <w:ind w:right="35"/>
        <w:jc w:val="right"/>
        <w:rPr>
          <w:rFonts w:ascii="仿宋" w:hAnsi="仿宋" w:eastAsia="仿宋" w:cs="仿宋"/>
          <w:sz w:val="31"/>
          <w:szCs w:val="31"/>
        </w:rPr>
      </w:pPr>
      <w:r>
        <w:rPr>
          <w:rFonts w:ascii="微软雅黑" w:hAnsi="微软雅黑" w:eastAsia="微软雅黑" w:cs="微软雅黑"/>
          <w:spacing w:val="10"/>
          <w:sz w:val="31"/>
          <w:szCs w:val="31"/>
        </w:rPr>
        <w:t>积极推进眠江流域地热配套旅游产业勘查开发</w:t>
      </w:r>
      <w:r>
        <w:rPr>
          <w:rFonts w:ascii="微软雅黑" w:hAnsi="微软雅黑" w:eastAsia="微软雅黑" w:cs="微软雅黑"/>
          <w:spacing w:val="-45"/>
          <w:sz w:val="31"/>
          <w:szCs w:val="31"/>
        </w:rPr>
        <w:t xml:space="preserve"> </w:t>
      </w:r>
      <w:r>
        <w:rPr>
          <w:rFonts w:ascii="微软雅黑" w:hAnsi="微软雅黑" w:eastAsia="微软雅黑" w:cs="微软雅黑"/>
          <w:spacing w:val="10"/>
          <w:sz w:val="31"/>
          <w:szCs w:val="31"/>
        </w:rPr>
        <w:t>。</w:t>
      </w:r>
      <w:r>
        <w:rPr>
          <w:rFonts w:ascii="仿宋" w:hAnsi="仿宋" w:eastAsia="仿宋" w:cs="仿宋"/>
          <w:spacing w:val="10"/>
          <w:sz w:val="31"/>
          <w:szCs w:val="31"/>
        </w:rPr>
        <w:t>依托岷</w:t>
      </w:r>
    </w:p>
    <w:p w14:paraId="3691DA83">
      <w:pPr>
        <w:spacing w:line="194" w:lineRule="auto"/>
        <w:rPr>
          <w:rFonts w:ascii="仿宋" w:hAnsi="仿宋" w:eastAsia="仿宋" w:cs="仿宋"/>
          <w:sz w:val="31"/>
          <w:szCs w:val="31"/>
        </w:rPr>
        <w:sectPr>
          <w:footerReference r:id="rId22" w:type="default"/>
          <w:pgSz w:w="11904" w:h="16835"/>
          <w:pgMar w:top="1430" w:right="1766" w:bottom="1289" w:left="1785" w:header="0" w:footer="923" w:gutter="0"/>
          <w:cols w:space="720" w:num="1"/>
        </w:sectPr>
      </w:pPr>
    </w:p>
    <w:p w14:paraId="569AE5FC">
      <w:pPr>
        <w:spacing w:before="130" w:line="372" w:lineRule="auto"/>
        <w:ind w:left="23" w:firstLine="18"/>
        <w:jc w:val="both"/>
        <w:rPr>
          <w:rFonts w:ascii="仿宋" w:hAnsi="仿宋" w:eastAsia="仿宋" w:cs="仿宋"/>
          <w:sz w:val="31"/>
          <w:szCs w:val="31"/>
        </w:rPr>
      </w:pPr>
      <w:r>
        <w:rPr>
          <w:rFonts w:ascii="仿宋" w:hAnsi="仿宋" w:eastAsia="仿宋" w:cs="仿宋"/>
          <w:spacing w:val="6"/>
          <w:sz w:val="31"/>
          <w:szCs w:val="31"/>
        </w:rPr>
        <w:t>江流域主要旅游资源景点与地热分布特征，本着</w:t>
      </w:r>
      <w:r>
        <w:rPr>
          <w:rFonts w:ascii="仿宋" w:hAnsi="仿宋" w:eastAsia="仿宋" w:cs="仿宋"/>
          <w:spacing w:val="-99"/>
          <w:sz w:val="31"/>
          <w:szCs w:val="31"/>
        </w:rPr>
        <w:t xml:space="preserve"> </w:t>
      </w:r>
      <w:r>
        <w:rPr>
          <w:rFonts w:ascii="仿宋" w:hAnsi="仿宋" w:eastAsia="仿宋" w:cs="仿宋"/>
          <w:spacing w:val="6"/>
          <w:sz w:val="31"/>
          <w:szCs w:val="31"/>
        </w:rPr>
        <w:t>“资源保护为主、</w:t>
      </w:r>
      <w:r>
        <w:rPr>
          <w:rFonts w:ascii="仿宋" w:hAnsi="仿宋" w:eastAsia="仿宋" w:cs="仿宋"/>
          <w:spacing w:val="-80"/>
          <w:sz w:val="31"/>
          <w:szCs w:val="31"/>
        </w:rPr>
        <w:t xml:space="preserve"> </w:t>
      </w:r>
      <w:r>
        <w:rPr>
          <w:rFonts w:ascii="仿宋" w:hAnsi="仿宋" w:eastAsia="仿宋" w:cs="仿宋"/>
          <w:spacing w:val="6"/>
          <w:sz w:val="31"/>
          <w:szCs w:val="31"/>
        </w:rPr>
        <w:t>因地制宜、按需利用”为总体原则，为岷江流域分布</w:t>
      </w:r>
      <w:r>
        <w:rPr>
          <w:rFonts w:ascii="仿宋" w:hAnsi="仿宋" w:eastAsia="仿宋" w:cs="仿宋"/>
          <w:spacing w:val="21"/>
          <w:sz w:val="31"/>
          <w:szCs w:val="31"/>
        </w:rPr>
        <w:t>的各类风景名胜区及旅游热门目的地优先配置地热勘查区</w:t>
      </w:r>
      <w:r>
        <w:rPr>
          <w:rFonts w:ascii="仿宋" w:hAnsi="仿宋" w:eastAsia="仿宋" w:cs="仿宋"/>
          <w:spacing w:val="11"/>
          <w:sz w:val="31"/>
          <w:szCs w:val="31"/>
        </w:rPr>
        <w:t>块和开采区块，积极探索地热</w:t>
      </w:r>
      <w:r>
        <w:rPr>
          <w:rFonts w:ascii="仿宋" w:hAnsi="仿宋" w:eastAsia="仿宋" w:cs="仿宋"/>
          <w:spacing w:val="-101"/>
          <w:sz w:val="31"/>
          <w:szCs w:val="31"/>
        </w:rPr>
        <w:t xml:space="preserve"> </w:t>
      </w:r>
      <w:r>
        <w:rPr>
          <w:rFonts w:ascii="仿宋" w:hAnsi="仿宋" w:eastAsia="仿宋" w:cs="仿宋"/>
          <w:spacing w:val="11"/>
          <w:sz w:val="31"/>
          <w:szCs w:val="31"/>
        </w:rPr>
        <w:t>“净矿”与旅游配套</w:t>
      </w:r>
      <w:r>
        <w:rPr>
          <w:rFonts w:ascii="仿宋" w:hAnsi="仿宋" w:eastAsia="仿宋" w:cs="仿宋"/>
          <w:spacing w:val="-106"/>
          <w:sz w:val="31"/>
          <w:szCs w:val="31"/>
        </w:rPr>
        <w:t xml:space="preserve"> </w:t>
      </w:r>
      <w:r>
        <w:rPr>
          <w:rFonts w:ascii="仿宋" w:hAnsi="仿宋" w:eastAsia="仿宋" w:cs="仿宋"/>
          <w:spacing w:val="11"/>
          <w:sz w:val="31"/>
          <w:szCs w:val="31"/>
        </w:rPr>
        <w:t>“</w:t>
      </w:r>
      <w:r>
        <w:rPr>
          <w:rFonts w:ascii="仿宋" w:hAnsi="仿宋" w:eastAsia="仿宋" w:cs="仿宋"/>
          <w:spacing w:val="10"/>
          <w:sz w:val="31"/>
          <w:szCs w:val="31"/>
        </w:rPr>
        <w:t>净地”</w:t>
      </w:r>
      <w:r>
        <w:rPr>
          <w:rFonts w:ascii="仿宋" w:hAnsi="仿宋" w:eastAsia="仿宋" w:cs="仿宋"/>
          <w:spacing w:val="9"/>
          <w:sz w:val="31"/>
          <w:szCs w:val="31"/>
        </w:rPr>
        <w:t>一体化出让，为建设区域性旅游文化品牌，巩固脱贫</w:t>
      </w:r>
      <w:r>
        <w:rPr>
          <w:rFonts w:ascii="仿宋" w:hAnsi="仿宋" w:eastAsia="仿宋" w:cs="仿宋"/>
          <w:spacing w:val="8"/>
          <w:sz w:val="31"/>
          <w:szCs w:val="31"/>
        </w:rPr>
        <w:t>攻坚成</w:t>
      </w:r>
      <w:r>
        <w:rPr>
          <w:rFonts w:ascii="仿宋" w:hAnsi="仿宋" w:eastAsia="仿宋" w:cs="仿宋"/>
          <w:spacing w:val="9"/>
          <w:sz w:val="31"/>
          <w:szCs w:val="31"/>
        </w:rPr>
        <w:t>果、振兴乡村，推动旅游一体化发展，合力打造成渝</w:t>
      </w:r>
      <w:r>
        <w:rPr>
          <w:rFonts w:ascii="仿宋" w:hAnsi="仿宋" w:eastAsia="仿宋" w:cs="仿宋"/>
          <w:spacing w:val="8"/>
          <w:sz w:val="31"/>
          <w:szCs w:val="31"/>
        </w:rPr>
        <w:t>地区双城经济圈后花园提供资源保障。</w:t>
      </w:r>
    </w:p>
    <w:p w14:paraId="73766378">
      <w:pPr>
        <w:pStyle w:val="2"/>
        <w:spacing w:before="104" w:line="360" w:lineRule="auto"/>
        <w:ind w:left="27" w:right="154" w:firstLine="629"/>
        <w:jc w:val="both"/>
        <w:rPr>
          <w:rFonts w:ascii="仿宋" w:hAnsi="仿宋" w:eastAsia="仿宋" w:cs="仿宋"/>
          <w:sz w:val="31"/>
          <w:szCs w:val="31"/>
        </w:rPr>
      </w:pPr>
      <w:r>
        <w:rPr>
          <w:rFonts w:ascii="微软雅黑" w:hAnsi="微软雅黑" w:eastAsia="微软雅黑" w:cs="微软雅黑"/>
          <w:spacing w:val="5"/>
          <w:sz w:val="31"/>
          <w:szCs w:val="31"/>
        </w:rPr>
        <w:t>严守黄河长江上游重要生态屏障保护底线</w:t>
      </w:r>
      <w:r>
        <w:rPr>
          <w:rFonts w:ascii="微软雅黑" w:hAnsi="微软雅黑" w:eastAsia="微软雅黑" w:cs="微软雅黑"/>
          <w:spacing w:val="-42"/>
          <w:sz w:val="31"/>
          <w:szCs w:val="31"/>
        </w:rPr>
        <w:t xml:space="preserve"> </w:t>
      </w:r>
      <w:r>
        <w:rPr>
          <w:spacing w:val="5"/>
          <w:sz w:val="31"/>
          <w:szCs w:val="31"/>
        </w:rPr>
        <w:t xml:space="preserve">.   </w:t>
      </w:r>
      <w:r>
        <w:rPr>
          <w:rFonts w:ascii="仿宋" w:hAnsi="仿宋" w:eastAsia="仿宋" w:cs="仿宋"/>
          <w:spacing w:val="5"/>
          <w:sz w:val="31"/>
          <w:szCs w:val="31"/>
        </w:rPr>
        <w:t>以大熊</w:t>
      </w:r>
      <w:r>
        <w:rPr>
          <w:rFonts w:ascii="仿宋" w:hAnsi="仿宋" w:eastAsia="仿宋" w:cs="仿宋"/>
          <w:spacing w:val="4"/>
          <w:sz w:val="31"/>
          <w:szCs w:val="31"/>
        </w:rPr>
        <w:t>猫国</w:t>
      </w:r>
      <w:r>
        <w:rPr>
          <w:rFonts w:ascii="仿宋" w:hAnsi="仿宋" w:eastAsia="仿宋" w:cs="仿宋"/>
          <w:spacing w:val="14"/>
          <w:sz w:val="31"/>
          <w:szCs w:val="31"/>
        </w:rPr>
        <w:t>家公园和若尔盖国家公园建设标准为要求、在九寨沟-黄龙</w:t>
      </w:r>
      <w:r>
        <w:rPr>
          <w:rFonts w:ascii="仿宋" w:hAnsi="仿宋" w:eastAsia="仿宋" w:cs="仿宋"/>
          <w:spacing w:val="-3"/>
          <w:sz w:val="31"/>
          <w:szCs w:val="31"/>
        </w:rPr>
        <w:t>自然遗产地、贡杠岭、严波也则、日干乔、宝鼎沟、南莫</w:t>
      </w:r>
      <w:r>
        <w:rPr>
          <w:rFonts w:ascii="仿宋" w:hAnsi="仿宋" w:eastAsia="仿宋" w:cs="仿宋"/>
          <w:spacing w:val="-4"/>
          <w:sz w:val="31"/>
          <w:szCs w:val="31"/>
        </w:rPr>
        <w:t>且、</w:t>
      </w:r>
      <w:r>
        <w:rPr>
          <w:rFonts w:ascii="仿宋" w:hAnsi="仿宋" w:eastAsia="仿宋" w:cs="仿宋"/>
          <w:spacing w:val="3"/>
          <w:sz w:val="31"/>
          <w:szCs w:val="31"/>
        </w:rPr>
        <w:t>若尔盖、包座、杜苟拉、</w:t>
      </w:r>
      <w:r>
        <w:rPr>
          <w:rFonts w:ascii="仿宋" w:hAnsi="仿宋" w:eastAsia="仿宋" w:cs="仿宋"/>
          <w:spacing w:val="-75"/>
          <w:sz w:val="31"/>
          <w:szCs w:val="31"/>
        </w:rPr>
        <w:t xml:space="preserve"> </w:t>
      </w:r>
      <w:r>
        <w:rPr>
          <w:rFonts w:ascii="仿宋" w:hAnsi="仿宋" w:eastAsia="仿宋" w:cs="仿宋"/>
          <w:spacing w:val="3"/>
          <w:sz w:val="31"/>
          <w:szCs w:val="31"/>
        </w:rPr>
        <w:t>白羊、</w:t>
      </w:r>
      <w:r>
        <w:rPr>
          <w:rFonts w:ascii="仿宋" w:hAnsi="仿宋" w:eastAsia="仿宋" w:cs="仿宋"/>
          <w:spacing w:val="-86"/>
          <w:sz w:val="31"/>
          <w:szCs w:val="31"/>
        </w:rPr>
        <w:t xml:space="preserve"> </w:t>
      </w:r>
      <w:r>
        <w:rPr>
          <w:rFonts w:ascii="仿宋" w:hAnsi="仿宋" w:eastAsia="仿宋" w:cs="仿宋"/>
          <w:spacing w:val="3"/>
          <w:sz w:val="31"/>
          <w:szCs w:val="31"/>
        </w:rPr>
        <w:t>白河金丝猴等自然保护区，</w:t>
      </w:r>
      <w:r>
        <w:rPr>
          <w:rFonts w:ascii="仿宋" w:hAnsi="仿宋" w:eastAsia="仿宋" w:cs="仿宋"/>
          <w:spacing w:val="9"/>
          <w:sz w:val="31"/>
          <w:szCs w:val="31"/>
        </w:rPr>
        <w:t>四姑娘山、三江、草坡、黄龙、松坪沟、米</w:t>
      </w:r>
      <w:r>
        <w:rPr>
          <w:rFonts w:ascii="仿宋" w:hAnsi="仿宋" w:eastAsia="仿宋" w:cs="仿宋"/>
          <w:spacing w:val="8"/>
          <w:sz w:val="31"/>
          <w:szCs w:val="31"/>
        </w:rPr>
        <w:t>亚罗、达古冰川</w:t>
      </w:r>
      <w:r>
        <w:rPr>
          <w:rFonts w:ascii="仿宋" w:hAnsi="仿宋" w:eastAsia="仿宋" w:cs="仿宋"/>
          <w:spacing w:val="9"/>
          <w:sz w:val="31"/>
          <w:szCs w:val="31"/>
        </w:rPr>
        <w:t>等风景名胜区，夹金山、三奥雪山、雅克夏</w:t>
      </w:r>
      <w:r>
        <w:rPr>
          <w:rFonts w:ascii="仿宋" w:hAnsi="仿宋" w:eastAsia="仿宋" w:cs="仿宋"/>
          <w:spacing w:val="8"/>
          <w:sz w:val="31"/>
          <w:szCs w:val="31"/>
        </w:rPr>
        <w:t>森林公园等范围</w:t>
      </w:r>
      <w:r>
        <w:rPr>
          <w:rFonts w:ascii="仿宋" w:hAnsi="仿宋" w:eastAsia="仿宋" w:cs="仿宋"/>
          <w:spacing w:val="5"/>
          <w:sz w:val="31"/>
          <w:szCs w:val="31"/>
        </w:rPr>
        <w:t>内，严格执行国家公园、</w:t>
      </w:r>
      <w:r>
        <w:rPr>
          <w:rFonts w:ascii="仿宋" w:hAnsi="仿宋" w:eastAsia="仿宋" w:cs="仿宋"/>
          <w:spacing w:val="-58"/>
          <w:sz w:val="31"/>
          <w:szCs w:val="31"/>
        </w:rPr>
        <w:t xml:space="preserve"> </w:t>
      </w:r>
      <w:r>
        <w:rPr>
          <w:rFonts w:ascii="仿宋" w:hAnsi="仿宋" w:eastAsia="仿宋" w:cs="仿宋"/>
          <w:spacing w:val="5"/>
          <w:sz w:val="31"/>
          <w:szCs w:val="31"/>
        </w:rPr>
        <w:t>自然保护区、风景名胜区、森林公</w:t>
      </w:r>
      <w:r>
        <w:rPr>
          <w:rFonts w:ascii="仿宋" w:hAnsi="仿宋" w:eastAsia="仿宋" w:cs="仿宋"/>
          <w:spacing w:val="9"/>
          <w:sz w:val="31"/>
          <w:szCs w:val="31"/>
        </w:rPr>
        <w:t>园、世界自然遗产、国家地质公园、饮用水</w:t>
      </w:r>
      <w:r>
        <w:rPr>
          <w:rFonts w:ascii="仿宋" w:hAnsi="仿宋" w:eastAsia="仿宋" w:cs="仿宋"/>
          <w:spacing w:val="8"/>
          <w:sz w:val="31"/>
          <w:szCs w:val="31"/>
        </w:rPr>
        <w:t>源地保护等相关</w:t>
      </w:r>
      <w:r>
        <w:rPr>
          <w:rFonts w:ascii="仿宋" w:hAnsi="仿宋" w:eastAsia="仿宋" w:cs="仿宋"/>
          <w:spacing w:val="5"/>
          <w:sz w:val="31"/>
          <w:szCs w:val="31"/>
        </w:rPr>
        <w:t>管理条例，充分落实国土空间</w:t>
      </w:r>
      <w:r>
        <w:rPr>
          <w:rFonts w:ascii="仿宋" w:hAnsi="仿宋" w:eastAsia="仿宋" w:cs="仿宋"/>
          <w:spacing w:val="-99"/>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三区三线”要求，严守重要</w:t>
      </w:r>
      <w:r>
        <w:rPr>
          <w:rFonts w:ascii="仿宋" w:hAnsi="仿宋" w:eastAsia="仿宋" w:cs="仿宋"/>
          <w:spacing w:val="7"/>
          <w:sz w:val="31"/>
          <w:szCs w:val="31"/>
        </w:rPr>
        <w:t>生态功能区保护底线。</w:t>
      </w:r>
    </w:p>
    <w:p w14:paraId="3109A70D">
      <w:pPr>
        <w:pStyle w:val="2"/>
        <w:spacing w:before="7" w:line="325" w:lineRule="auto"/>
        <w:ind w:left="26" w:right="154" w:firstLine="632"/>
        <w:rPr>
          <w:rFonts w:ascii="仿宋" w:hAnsi="仿宋" w:eastAsia="仿宋" w:cs="仿宋"/>
          <w:sz w:val="31"/>
          <w:szCs w:val="31"/>
        </w:rPr>
      </w:pPr>
      <w:r>
        <w:rPr>
          <w:rFonts w:ascii="微软雅黑" w:hAnsi="微软雅黑" w:eastAsia="微软雅黑" w:cs="微软雅黑"/>
          <w:spacing w:val="-12"/>
          <w:w w:val="99"/>
          <w:sz w:val="33"/>
          <w:szCs w:val="33"/>
        </w:rPr>
        <w:t>着力打造黄河</w:t>
      </w:r>
      <w:r>
        <w:rPr>
          <w:rFonts w:ascii="微软雅黑" w:hAnsi="微软雅黑" w:eastAsia="微软雅黑" w:cs="微软雅黑"/>
          <w:spacing w:val="-46"/>
          <w:sz w:val="33"/>
          <w:szCs w:val="33"/>
        </w:rPr>
        <w:t xml:space="preserve"> </w:t>
      </w:r>
      <w:r>
        <w:rPr>
          <w:rFonts w:ascii="微软雅黑" w:hAnsi="微软雅黑" w:eastAsia="微软雅黑" w:cs="微软雅黑"/>
          <w:spacing w:val="-12"/>
          <w:w w:val="99"/>
          <w:sz w:val="33"/>
          <w:szCs w:val="33"/>
        </w:rPr>
        <w:t>、岷江</w:t>
      </w:r>
      <w:r>
        <w:rPr>
          <w:rFonts w:ascii="微软雅黑" w:hAnsi="微软雅黑" w:eastAsia="微软雅黑" w:cs="微软雅黑"/>
          <w:spacing w:val="-58"/>
          <w:sz w:val="33"/>
          <w:szCs w:val="33"/>
        </w:rPr>
        <w:t xml:space="preserve"> </w:t>
      </w:r>
      <w:r>
        <w:rPr>
          <w:rFonts w:ascii="微软雅黑" w:hAnsi="微软雅黑" w:eastAsia="微软雅黑" w:cs="微软雅黑"/>
          <w:spacing w:val="-12"/>
          <w:w w:val="99"/>
          <w:sz w:val="33"/>
          <w:szCs w:val="33"/>
        </w:rPr>
        <w:t>、大渡河上游重点流域绿色矿山生</w:t>
      </w:r>
      <w:r>
        <w:rPr>
          <w:rFonts w:ascii="微软雅黑" w:hAnsi="微软雅黑" w:eastAsia="微软雅黑" w:cs="微软雅黑"/>
          <w:spacing w:val="8"/>
          <w:position w:val="1"/>
          <w:sz w:val="31"/>
          <w:szCs w:val="31"/>
        </w:rPr>
        <w:t>态带</w:t>
      </w:r>
      <w:r>
        <w:rPr>
          <w:rFonts w:ascii="微软雅黑" w:hAnsi="微软雅黑" w:eastAsia="微软雅黑" w:cs="微软雅黑"/>
          <w:spacing w:val="-36"/>
          <w:position w:val="1"/>
          <w:sz w:val="31"/>
          <w:szCs w:val="31"/>
        </w:rPr>
        <w:t xml:space="preserve"> </w:t>
      </w:r>
      <w:r>
        <w:rPr>
          <w:spacing w:val="8"/>
          <w:position w:val="1"/>
          <w:sz w:val="31"/>
          <w:szCs w:val="31"/>
        </w:rPr>
        <w:t xml:space="preserve">.  </w:t>
      </w:r>
      <w:r>
        <w:rPr>
          <w:rFonts w:ascii="仿宋" w:hAnsi="仿宋" w:eastAsia="仿宋" w:cs="仿宋"/>
          <w:spacing w:val="8"/>
          <w:sz w:val="31"/>
          <w:szCs w:val="31"/>
        </w:rPr>
        <w:t>包含阿坝县、若尔盖县、红原县、汶川县、茂县、松</w:t>
      </w:r>
      <w:r>
        <w:rPr>
          <w:rFonts w:ascii="仿宋" w:hAnsi="仿宋" w:eastAsia="仿宋" w:cs="仿宋"/>
          <w:spacing w:val="9"/>
          <w:sz w:val="31"/>
          <w:szCs w:val="31"/>
        </w:rPr>
        <w:t>潘县、九寨沟县、马尔康市、金川县、小金县</w:t>
      </w:r>
      <w:r>
        <w:rPr>
          <w:rFonts w:ascii="仿宋" w:hAnsi="仿宋" w:eastAsia="仿宋" w:cs="仿宋"/>
          <w:spacing w:val="8"/>
          <w:sz w:val="31"/>
          <w:szCs w:val="31"/>
        </w:rPr>
        <w:t>，坚持生态优</w:t>
      </w:r>
      <w:r>
        <w:rPr>
          <w:rFonts w:ascii="仿宋" w:hAnsi="仿宋" w:eastAsia="仿宋" w:cs="仿宋"/>
          <w:spacing w:val="9"/>
          <w:sz w:val="31"/>
          <w:szCs w:val="31"/>
        </w:rPr>
        <w:t>先、绿色发展、贯彻落实《长江保护法》等相</w:t>
      </w:r>
      <w:r>
        <w:rPr>
          <w:rFonts w:ascii="仿宋" w:hAnsi="仿宋" w:eastAsia="仿宋" w:cs="仿宋"/>
          <w:spacing w:val="8"/>
          <w:sz w:val="31"/>
          <w:szCs w:val="31"/>
        </w:rPr>
        <w:t>关法律法规。</w:t>
      </w:r>
      <w:r>
        <w:rPr>
          <w:rFonts w:ascii="仿宋" w:hAnsi="仿宋" w:eastAsia="仿宋" w:cs="仿宋"/>
          <w:spacing w:val="6"/>
          <w:sz w:val="31"/>
          <w:szCs w:val="31"/>
        </w:rPr>
        <w:t>加快引导黄河上游（黑河、</w:t>
      </w:r>
      <w:r>
        <w:rPr>
          <w:rFonts w:ascii="仿宋" w:hAnsi="仿宋" w:eastAsia="仿宋" w:cs="仿宋"/>
          <w:spacing w:val="-83"/>
          <w:sz w:val="31"/>
          <w:szCs w:val="31"/>
        </w:rPr>
        <w:t xml:space="preserve"> </w:t>
      </w:r>
      <w:r>
        <w:rPr>
          <w:rFonts w:ascii="仿宋" w:hAnsi="仿宋" w:eastAsia="仿宋" w:cs="仿宋"/>
          <w:spacing w:val="6"/>
          <w:sz w:val="31"/>
          <w:szCs w:val="31"/>
        </w:rPr>
        <w:t>白河）、大渡河、岷江沿岸十公</w:t>
      </w:r>
    </w:p>
    <w:p w14:paraId="5E0BEBBC">
      <w:pPr>
        <w:spacing w:line="325" w:lineRule="auto"/>
        <w:rPr>
          <w:rFonts w:ascii="仿宋" w:hAnsi="仿宋" w:eastAsia="仿宋" w:cs="仿宋"/>
          <w:sz w:val="31"/>
          <w:szCs w:val="31"/>
        </w:rPr>
        <w:sectPr>
          <w:footerReference r:id="rId23" w:type="default"/>
          <w:pgSz w:w="11904" w:h="16835"/>
          <w:pgMar w:top="1430" w:right="1646" w:bottom="1289" w:left="1785" w:header="0" w:footer="923" w:gutter="0"/>
          <w:cols w:space="720" w:num="1"/>
        </w:sectPr>
      </w:pPr>
    </w:p>
    <w:p w14:paraId="46E949B8">
      <w:pPr>
        <w:spacing w:before="132" w:line="372" w:lineRule="auto"/>
        <w:ind w:left="135" w:right="16" w:firstLine="9"/>
        <w:jc w:val="both"/>
        <w:rPr>
          <w:rFonts w:ascii="仿宋" w:hAnsi="仿宋" w:eastAsia="仿宋" w:cs="仿宋"/>
          <w:sz w:val="31"/>
          <w:szCs w:val="31"/>
        </w:rPr>
      </w:pPr>
      <w:r>
        <w:rPr>
          <w:rFonts w:ascii="仿宋" w:hAnsi="仿宋" w:eastAsia="仿宋" w:cs="仿宋"/>
          <w:spacing w:val="8"/>
          <w:sz w:val="31"/>
          <w:szCs w:val="31"/>
        </w:rPr>
        <w:t>里范围内矿山全面向绿色矿山转型，不能达到绿色矿山要求</w:t>
      </w:r>
      <w:r>
        <w:rPr>
          <w:rFonts w:ascii="仿宋" w:hAnsi="仿宋" w:eastAsia="仿宋" w:cs="仿宋"/>
          <w:spacing w:val="6"/>
          <w:sz w:val="31"/>
          <w:szCs w:val="31"/>
        </w:rPr>
        <w:t>的应有序退出，并做好矿山生态修复工作，</w:t>
      </w:r>
      <w:r>
        <w:rPr>
          <w:rFonts w:ascii="仿宋" w:hAnsi="仿宋" w:eastAsia="仿宋" w:cs="仿宋"/>
          <w:spacing w:val="-87"/>
          <w:sz w:val="31"/>
          <w:szCs w:val="31"/>
        </w:rPr>
        <w:t xml:space="preserve"> </w:t>
      </w:r>
      <w:r>
        <w:rPr>
          <w:rFonts w:ascii="仿宋" w:hAnsi="仿宋" w:eastAsia="仿宋" w:cs="仿宋"/>
          <w:spacing w:val="6"/>
          <w:sz w:val="31"/>
          <w:szCs w:val="31"/>
        </w:rPr>
        <w:t>以若尔盖国家公</w:t>
      </w:r>
      <w:r>
        <w:rPr>
          <w:rFonts w:ascii="仿宋" w:hAnsi="仿宋" w:eastAsia="仿宋" w:cs="仿宋"/>
          <w:spacing w:val="8"/>
          <w:sz w:val="31"/>
          <w:szCs w:val="31"/>
        </w:rPr>
        <w:t>园建设为契机，积极推进历史遗留废弃露天矿山生态修复工作，逐步形成黄河上游、岷江、大渡河上游沿岸绿色矿山生</w:t>
      </w:r>
      <w:bookmarkStart w:id="17" w:name="bookmark13"/>
      <w:bookmarkEnd w:id="17"/>
      <w:r>
        <w:rPr>
          <w:rFonts w:ascii="仿宋" w:hAnsi="仿宋" w:eastAsia="仿宋" w:cs="仿宋"/>
          <w:spacing w:val="8"/>
          <w:sz w:val="31"/>
          <w:szCs w:val="31"/>
        </w:rPr>
        <w:t>态带，切实筑牢长江黄河上游生态屏障。</w:t>
      </w:r>
    </w:p>
    <w:p w14:paraId="4B346CE1">
      <w:pPr>
        <w:spacing w:before="273" w:line="323" w:lineRule="exact"/>
        <w:ind w:left="1285"/>
        <w:outlineLvl w:val="0"/>
        <w:rPr>
          <w:rFonts w:ascii="微软雅黑" w:hAnsi="微软雅黑" w:eastAsia="微软雅黑" w:cs="微软雅黑"/>
          <w:sz w:val="30"/>
          <w:szCs w:val="30"/>
        </w:rPr>
      </w:pPr>
      <w:bookmarkStart w:id="18" w:name="bookmark34"/>
      <w:bookmarkEnd w:id="18"/>
      <w:r>
        <w:rPr>
          <w:rFonts w:ascii="微软雅黑" w:hAnsi="微软雅黑" w:eastAsia="微软雅黑" w:cs="微软雅黑"/>
          <w:spacing w:val="11"/>
          <w:position w:val="-1"/>
          <w:sz w:val="30"/>
          <w:szCs w:val="30"/>
        </w:rPr>
        <w:t>第二节  强化资源安全保障  统筹勘查开</w:t>
      </w:r>
      <w:r>
        <w:rPr>
          <w:rFonts w:ascii="微软雅黑" w:hAnsi="微软雅黑" w:eastAsia="微软雅黑" w:cs="微软雅黑"/>
          <w:spacing w:val="10"/>
          <w:position w:val="-1"/>
          <w:sz w:val="30"/>
          <w:szCs w:val="30"/>
        </w:rPr>
        <w:t>发与保护</w:t>
      </w:r>
    </w:p>
    <w:p w14:paraId="360B78DE">
      <w:pPr>
        <w:pStyle w:val="2"/>
        <w:spacing w:line="242" w:lineRule="auto"/>
      </w:pPr>
    </w:p>
    <w:p w14:paraId="12DBD720">
      <w:pPr>
        <w:pStyle w:val="2"/>
        <w:spacing w:line="242" w:lineRule="auto"/>
      </w:pPr>
    </w:p>
    <w:p w14:paraId="3C1F223C">
      <w:pPr>
        <w:spacing w:before="100" w:line="225" w:lineRule="auto"/>
        <w:ind w:left="137"/>
        <w:rPr>
          <w:rFonts w:ascii="黑体" w:hAnsi="黑体" w:eastAsia="黑体" w:cs="黑体"/>
          <w:sz w:val="31"/>
          <w:szCs w:val="31"/>
        </w:rPr>
      </w:pPr>
      <w:r>
        <w:rPr>
          <w:rFonts w:ascii="黑体" w:hAnsi="黑体" w:eastAsia="黑体" w:cs="黑体"/>
          <w:spacing w:val="8"/>
          <w:sz w:val="31"/>
          <w:szCs w:val="31"/>
        </w:rPr>
        <w:t>一、加强基础性、公益性地质矿产调查与评价</w:t>
      </w:r>
    </w:p>
    <w:p w14:paraId="60530AE7">
      <w:pPr>
        <w:spacing w:before="243" w:line="369" w:lineRule="auto"/>
        <w:ind w:left="129" w:right="16" w:firstLine="640"/>
        <w:jc w:val="both"/>
        <w:rPr>
          <w:rFonts w:ascii="仿宋" w:hAnsi="仿宋" w:eastAsia="仿宋" w:cs="仿宋"/>
          <w:sz w:val="31"/>
          <w:szCs w:val="31"/>
        </w:rPr>
      </w:pPr>
      <w:r>
        <w:rPr>
          <w:rFonts w:ascii="仿宋" w:hAnsi="仿宋" w:eastAsia="仿宋" w:cs="仿宋"/>
          <w:spacing w:val="8"/>
          <w:sz w:val="31"/>
          <w:szCs w:val="31"/>
        </w:rPr>
        <w:t>进一步加强与中央、省级公益性地质矿产调查工作的衔</w:t>
      </w:r>
      <w:r>
        <w:rPr>
          <w:rFonts w:ascii="仿宋" w:hAnsi="仿宋" w:eastAsia="仿宋" w:cs="仿宋"/>
          <w:spacing w:val="7"/>
          <w:sz w:val="31"/>
          <w:szCs w:val="31"/>
        </w:rPr>
        <w:t>接，开展</w:t>
      </w:r>
      <w:r>
        <w:rPr>
          <w:rFonts w:ascii="仿宋" w:hAnsi="仿宋" w:eastAsia="仿宋" w:cs="仿宋"/>
          <w:spacing w:val="-31"/>
          <w:sz w:val="31"/>
          <w:szCs w:val="31"/>
        </w:rPr>
        <w:t xml:space="preserve"> </w:t>
      </w:r>
      <w:r>
        <w:rPr>
          <w:rFonts w:ascii="Times New Roman" w:hAnsi="Times New Roman" w:eastAsia="Times New Roman" w:cs="Times New Roman"/>
          <w:spacing w:val="7"/>
          <w:sz w:val="31"/>
          <w:szCs w:val="31"/>
        </w:rPr>
        <w:t>1</w:t>
      </w:r>
      <w:r>
        <w:rPr>
          <w:rFonts w:ascii="Times New Roman" w:hAnsi="Times New Roman" w:eastAsia="Times New Roman" w:cs="Times New Roman"/>
          <w:spacing w:val="60"/>
          <w:w w:val="101"/>
          <w:sz w:val="31"/>
          <w:szCs w:val="31"/>
        </w:rPr>
        <w:t xml:space="preserve"> </w:t>
      </w:r>
      <w:r>
        <w:rPr>
          <w:rFonts w:ascii="仿宋" w:hAnsi="仿宋" w:eastAsia="仿宋" w:cs="仿宋"/>
          <w:spacing w:val="7"/>
          <w:sz w:val="31"/>
          <w:szCs w:val="31"/>
        </w:rPr>
        <w:t>:</w:t>
      </w:r>
      <w:r>
        <w:rPr>
          <w:rFonts w:ascii="Times New Roman" w:hAnsi="Times New Roman" w:eastAsia="Times New Roman" w:cs="Times New Roman"/>
          <w:spacing w:val="7"/>
          <w:sz w:val="31"/>
          <w:szCs w:val="31"/>
        </w:rPr>
        <w:t>5</w:t>
      </w:r>
      <w:r>
        <w:rPr>
          <w:rFonts w:ascii="Times New Roman" w:hAnsi="Times New Roman" w:eastAsia="Times New Roman" w:cs="Times New Roman"/>
          <w:spacing w:val="33"/>
          <w:w w:val="101"/>
          <w:sz w:val="31"/>
          <w:szCs w:val="31"/>
        </w:rPr>
        <w:t xml:space="preserve"> </w:t>
      </w:r>
      <w:r>
        <w:rPr>
          <w:rFonts w:ascii="仿宋" w:hAnsi="仿宋" w:eastAsia="仿宋" w:cs="仿宋"/>
          <w:spacing w:val="7"/>
          <w:sz w:val="31"/>
          <w:szCs w:val="31"/>
        </w:rPr>
        <w:t>万</w:t>
      </w:r>
      <w:r>
        <w:rPr>
          <w:rFonts w:ascii="Times New Roman" w:hAnsi="Times New Roman" w:eastAsia="Times New Roman" w:cs="Times New Roman"/>
          <w:spacing w:val="7"/>
          <w:sz w:val="31"/>
          <w:szCs w:val="31"/>
        </w:rPr>
        <w:t>-1</w:t>
      </w:r>
      <w:r>
        <w:rPr>
          <w:rFonts w:ascii="Times New Roman" w:hAnsi="Times New Roman" w:eastAsia="Times New Roman" w:cs="Times New Roman"/>
          <w:spacing w:val="60"/>
          <w:sz w:val="31"/>
          <w:szCs w:val="31"/>
        </w:rPr>
        <w:t xml:space="preserve"> </w:t>
      </w:r>
      <w:r>
        <w:rPr>
          <w:rFonts w:ascii="仿宋" w:hAnsi="仿宋" w:eastAsia="仿宋" w:cs="仿宋"/>
          <w:spacing w:val="7"/>
          <w:sz w:val="31"/>
          <w:szCs w:val="31"/>
        </w:rPr>
        <w:t>:</w:t>
      </w:r>
      <w:r>
        <w:rPr>
          <w:rFonts w:ascii="Times New Roman" w:hAnsi="Times New Roman" w:eastAsia="Times New Roman" w:cs="Times New Roman"/>
          <w:spacing w:val="7"/>
          <w:sz w:val="31"/>
          <w:szCs w:val="31"/>
        </w:rPr>
        <w:t>2.5</w:t>
      </w:r>
      <w:r>
        <w:rPr>
          <w:rFonts w:ascii="Times New Roman" w:hAnsi="Times New Roman" w:eastAsia="Times New Roman" w:cs="Times New Roman"/>
          <w:spacing w:val="33"/>
          <w:w w:val="101"/>
          <w:sz w:val="31"/>
          <w:szCs w:val="31"/>
        </w:rPr>
        <w:t xml:space="preserve"> </w:t>
      </w:r>
      <w:r>
        <w:rPr>
          <w:rFonts w:ascii="仿宋" w:hAnsi="仿宋" w:eastAsia="仿宋" w:cs="仿宋"/>
          <w:spacing w:val="7"/>
          <w:sz w:val="31"/>
          <w:szCs w:val="31"/>
        </w:rPr>
        <w:t>万矿产地质调查和资源潜力评价工</w:t>
      </w:r>
      <w:r>
        <w:rPr>
          <w:rFonts w:ascii="仿宋" w:hAnsi="仿宋" w:eastAsia="仿宋" w:cs="仿宋"/>
          <w:spacing w:val="9"/>
          <w:sz w:val="31"/>
          <w:szCs w:val="31"/>
        </w:rPr>
        <w:t>作。落实省级规划川西地区地热资源调查评价重点矿</w:t>
      </w:r>
      <w:r>
        <w:rPr>
          <w:rFonts w:ascii="仿宋" w:hAnsi="仿宋" w:eastAsia="仿宋" w:cs="仿宋"/>
          <w:spacing w:val="8"/>
          <w:sz w:val="31"/>
          <w:szCs w:val="31"/>
        </w:rPr>
        <w:t>种矿产</w:t>
      </w:r>
      <w:r>
        <w:rPr>
          <w:rFonts w:ascii="仿宋" w:hAnsi="仿宋" w:eastAsia="仿宋" w:cs="仿宋"/>
          <w:spacing w:val="5"/>
          <w:sz w:val="31"/>
          <w:szCs w:val="31"/>
        </w:rPr>
        <w:t>资源调查工程。推进大渡河上游</w:t>
      </w:r>
      <w:r>
        <w:rPr>
          <w:rFonts w:ascii="Times New Roman" w:hAnsi="Times New Roman" w:eastAsia="Times New Roman" w:cs="Times New Roman"/>
          <w:spacing w:val="5"/>
          <w:sz w:val="31"/>
          <w:szCs w:val="31"/>
        </w:rPr>
        <w:t>-</w:t>
      </w:r>
      <w:r>
        <w:rPr>
          <w:rFonts w:ascii="仿宋" w:hAnsi="仿宋" w:eastAsia="仿宋" w:cs="仿宋"/>
          <w:spacing w:val="5"/>
          <w:sz w:val="31"/>
          <w:szCs w:val="31"/>
        </w:rPr>
        <w:t>夹金山地</w:t>
      </w:r>
      <w:r>
        <w:rPr>
          <w:rFonts w:ascii="仿宋" w:hAnsi="仿宋" w:eastAsia="仿宋" w:cs="仿宋"/>
          <w:spacing w:val="4"/>
          <w:sz w:val="31"/>
          <w:szCs w:val="31"/>
        </w:rPr>
        <w:t>区地热资源的调查</w:t>
      </w:r>
      <w:r>
        <w:rPr>
          <w:rFonts w:ascii="仿宋" w:hAnsi="仿宋" w:eastAsia="仿宋" w:cs="仿宋"/>
          <w:spacing w:val="9"/>
          <w:sz w:val="31"/>
          <w:szCs w:val="31"/>
        </w:rPr>
        <w:t>评价工作，发现和评价一批可供进一步勘查开发的矿</w:t>
      </w:r>
      <w:r>
        <w:rPr>
          <w:rFonts w:ascii="仿宋" w:hAnsi="仿宋" w:eastAsia="仿宋" w:cs="仿宋"/>
          <w:spacing w:val="8"/>
          <w:sz w:val="31"/>
          <w:szCs w:val="31"/>
        </w:rPr>
        <w:t>产地和地热资源找矿靶区，积极引导社会勘查资金投入。</w:t>
      </w:r>
    </w:p>
    <w:p w14:paraId="32603CFC">
      <w:pPr>
        <w:spacing w:before="16"/>
      </w:pPr>
    </w:p>
    <w:tbl>
      <w:tblPr>
        <w:tblStyle w:val="5"/>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6"/>
      </w:tblGrid>
      <w:tr w14:paraId="34B29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426" w:type="dxa"/>
            <w:shd w:val="clear" w:color="auto" w:fill="9FD3A4"/>
            <w:vAlign w:val="top"/>
          </w:tcPr>
          <w:p w14:paraId="7EB4A9A3">
            <w:pPr>
              <w:spacing w:before="168" w:line="224" w:lineRule="auto"/>
              <w:ind w:left="2314"/>
              <w:rPr>
                <w:rFonts w:ascii="黑体" w:hAnsi="黑体" w:eastAsia="黑体" w:cs="黑体"/>
                <w:sz w:val="28"/>
                <w:szCs w:val="28"/>
              </w:rPr>
            </w:pPr>
            <w:r>
              <w:rPr>
                <w:rFonts w:ascii="黑体" w:hAnsi="黑体" w:eastAsia="黑体" w:cs="黑体"/>
                <w:spacing w:val="3"/>
                <w:sz w:val="28"/>
                <w:szCs w:val="28"/>
              </w:rPr>
              <w:t>专栏5  找矿突破战略行动重大工程</w:t>
            </w:r>
          </w:p>
        </w:tc>
      </w:tr>
      <w:tr w14:paraId="47218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8" w:hRule="atLeast"/>
        </w:trPr>
        <w:tc>
          <w:tcPr>
            <w:tcW w:w="8426" w:type="dxa"/>
            <w:vAlign w:val="top"/>
          </w:tcPr>
          <w:p w14:paraId="63E2CDDE">
            <w:pPr>
              <w:spacing w:before="102" w:line="229" w:lineRule="auto"/>
              <w:ind w:left="129"/>
              <w:rPr>
                <w:rFonts w:ascii="黑体" w:hAnsi="黑体" w:eastAsia="黑体" w:cs="黑体"/>
                <w:sz w:val="23"/>
                <w:szCs w:val="23"/>
              </w:rPr>
            </w:pPr>
            <w:r>
              <w:rPr>
                <w:rFonts w:ascii="黑体" w:hAnsi="黑体" w:eastAsia="黑体" w:cs="黑体"/>
                <w:spacing w:val="8"/>
                <w:sz w:val="23"/>
                <w:szCs w:val="23"/>
              </w:rPr>
              <w:t>重点矿种矿产资源调查工程</w:t>
            </w:r>
          </w:p>
          <w:p w14:paraId="4E8080CE">
            <w:pPr>
              <w:pStyle w:val="6"/>
              <w:spacing w:before="110" w:line="291" w:lineRule="auto"/>
              <w:ind w:left="124" w:right="95" w:firstLine="482"/>
              <w:jc w:val="both"/>
              <w:rPr>
                <w:sz w:val="23"/>
                <w:szCs w:val="23"/>
              </w:rPr>
            </w:pPr>
            <w:r>
              <w:rPr>
                <w:rFonts w:ascii="微软雅黑" w:hAnsi="微软雅黑" w:eastAsia="微软雅黑" w:cs="微软雅黑"/>
                <w:spacing w:val="9"/>
                <w:sz w:val="23"/>
                <w:szCs w:val="23"/>
              </w:rPr>
              <w:t>川西地区地热资源调查评价</w:t>
            </w:r>
            <w:r>
              <w:rPr>
                <w:rFonts w:ascii="微软雅黑" w:hAnsi="微软雅黑" w:eastAsia="微软雅黑" w:cs="微软雅黑"/>
                <w:spacing w:val="67"/>
                <w:sz w:val="23"/>
                <w:szCs w:val="23"/>
              </w:rPr>
              <w:t xml:space="preserve"> </w:t>
            </w:r>
            <w:r>
              <w:rPr>
                <w:rFonts w:ascii="Arial" w:hAnsi="Arial" w:eastAsia="Arial" w:cs="Arial"/>
                <w:spacing w:val="9"/>
                <w:sz w:val="23"/>
                <w:szCs w:val="23"/>
              </w:rPr>
              <w:t xml:space="preserve">( </w:t>
            </w:r>
            <w:r>
              <w:rPr>
                <w:rFonts w:ascii="微软雅黑" w:hAnsi="微软雅黑" w:eastAsia="微软雅黑" w:cs="微软雅黑"/>
                <w:spacing w:val="9"/>
                <w:sz w:val="23"/>
                <w:szCs w:val="23"/>
              </w:rPr>
              <w:t xml:space="preserve">阿坝州部分)  </w:t>
            </w:r>
            <w:r>
              <w:rPr>
                <w:rFonts w:ascii="Arial" w:hAnsi="Arial" w:eastAsia="Arial" w:cs="Arial"/>
                <w:spacing w:val="9"/>
                <w:sz w:val="23"/>
                <w:szCs w:val="23"/>
              </w:rPr>
              <w:t>:</w:t>
            </w:r>
            <w:r>
              <w:rPr>
                <w:rFonts w:ascii="Arial" w:hAnsi="Arial" w:eastAsia="Arial" w:cs="Arial"/>
                <w:spacing w:val="26"/>
                <w:sz w:val="23"/>
                <w:szCs w:val="23"/>
              </w:rPr>
              <w:t xml:space="preserve">  </w:t>
            </w:r>
            <w:r>
              <w:rPr>
                <w:spacing w:val="9"/>
                <w:sz w:val="23"/>
                <w:szCs w:val="23"/>
              </w:rPr>
              <w:t>包括州内龙门山沿线岷江流</w:t>
            </w:r>
            <w:r>
              <w:rPr>
                <w:spacing w:val="11"/>
                <w:sz w:val="23"/>
                <w:szCs w:val="23"/>
              </w:rPr>
              <w:t>域，夹金山-大渡河地区，九寨沟-黄龙沿线等，查明区域内地热资</w:t>
            </w:r>
            <w:r>
              <w:rPr>
                <w:spacing w:val="10"/>
                <w:sz w:val="23"/>
                <w:szCs w:val="23"/>
              </w:rPr>
              <w:t>源形成的地</w:t>
            </w:r>
            <w:r>
              <w:rPr>
                <w:spacing w:val="9"/>
                <w:sz w:val="23"/>
                <w:szCs w:val="23"/>
              </w:rPr>
              <w:t>质规律，评价地热资源利用前景，提交可供进一步勘查的找矿靶区。</w:t>
            </w:r>
          </w:p>
        </w:tc>
      </w:tr>
    </w:tbl>
    <w:p w14:paraId="5220EC15">
      <w:pPr>
        <w:pStyle w:val="2"/>
        <w:spacing w:line="387" w:lineRule="auto"/>
      </w:pPr>
    </w:p>
    <w:p w14:paraId="1BD02D70">
      <w:pPr>
        <w:spacing w:before="101" w:line="225" w:lineRule="auto"/>
        <w:ind w:left="137"/>
        <w:rPr>
          <w:rFonts w:ascii="黑体" w:hAnsi="黑体" w:eastAsia="黑体" w:cs="黑体"/>
          <w:sz w:val="31"/>
          <w:szCs w:val="31"/>
        </w:rPr>
      </w:pPr>
      <w:r>
        <w:rPr>
          <w:rFonts w:ascii="黑体" w:hAnsi="黑体" w:eastAsia="黑体" w:cs="黑体"/>
          <w:spacing w:val="8"/>
          <w:sz w:val="31"/>
          <w:szCs w:val="31"/>
        </w:rPr>
        <w:t>二、明确矿产资源勘查开发方向和重点</w:t>
      </w:r>
    </w:p>
    <w:p w14:paraId="63C831C1">
      <w:pPr>
        <w:spacing w:before="230" w:line="323" w:lineRule="auto"/>
        <w:ind w:left="175" w:right="16" w:firstLine="599"/>
        <w:rPr>
          <w:rFonts w:ascii="仿宋" w:hAnsi="仿宋" w:eastAsia="仿宋" w:cs="仿宋"/>
          <w:sz w:val="31"/>
          <w:szCs w:val="31"/>
        </w:rPr>
      </w:pPr>
      <w:r>
        <w:rPr>
          <w:rFonts w:ascii="微软雅黑" w:hAnsi="微软雅黑" w:eastAsia="微软雅黑" w:cs="微软雅黑"/>
          <w:spacing w:val="7"/>
          <w:position w:val="1"/>
          <w:sz w:val="31"/>
          <w:szCs w:val="31"/>
        </w:rPr>
        <w:t>重点勘查矿种:</w:t>
      </w:r>
      <w:r>
        <w:rPr>
          <w:rFonts w:ascii="微软雅黑" w:hAnsi="微软雅黑" w:eastAsia="微软雅黑" w:cs="微软雅黑"/>
          <w:spacing w:val="42"/>
          <w:position w:val="1"/>
          <w:sz w:val="31"/>
          <w:szCs w:val="31"/>
        </w:rPr>
        <w:t xml:space="preserve">  </w:t>
      </w:r>
      <w:r>
        <w:rPr>
          <w:rFonts w:ascii="仿宋" w:hAnsi="仿宋" w:eastAsia="仿宋" w:cs="仿宋"/>
          <w:spacing w:val="7"/>
          <w:sz w:val="31"/>
          <w:szCs w:val="31"/>
        </w:rPr>
        <w:t>落实省规划要求，结合州情，可尔因地区立足现有矿业权，重点勘查锂、铍、铌、钽；配套旅游产</w:t>
      </w:r>
    </w:p>
    <w:p w14:paraId="750CC431">
      <w:pPr>
        <w:spacing w:line="323" w:lineRule="auto"/>
        <w:rPr>
          <w:rFonts w:ascii="仿宋" w:hAnsi="仿宋" w:eastAsia="仿宋" w:cs="仿宋"/>
          <w:sz w:val="31"/>
          <w:szCs w:val="31"/>
        </w:rPr>
        <w:sectPr>
          <w:footerReference r:id="rId24" w:type="default"/>
          <w:pgSz w:w="11904" w:h="16835"/>
          <w:pgMar w:top="1430" w:right="1785" w:bottom="1289" w:left="1679" w:header="0" w:footer="923" w:gutter="0"/>
          <w:cols w:space="720" w:num="1"/>
        </w:sectPr>
      </w:pPr>
    </w:p>
    <w:p w14:paraId="515CC5BA">
      <w:pPr>
        <w:spacing w:before="137" w:line="369" w:lineRule="auto"/>
        <w:ind w:left="26" w:firstLine="13"/>
        <w:jc w:val="both"/>
        <w:rPr>
          <w:rFonts w:ascii="仿宋" w:hAnsi="仿宋" w:eastAsia="仿宋" w:cs="仿宋"/>
          <w:sz w:val="31"/>
          <w:szCs w:val="31"/>
        </w:rPr>
      </w:pPr>
      <w:r>
        <w:rPr>
          <w:rFonts w:ascii="仿宋" w:hAnsi="仿宋" w:eastAsia="仿宋" w:cs="仿宋"/>
          <w:spacing w:val="-2"/>
          <w:sz w:val="31"/>
          <w:szCs w:val="31"/>
        </w:rPr>
        <w:t>业重点勘查地热、矿泉水。通过督促矿业权人加大勘查投入、</w:t>
      </w:r>
      <w:r>
        <w:rPr>
          <w:rFonts w:ascii="仿宋" w:hAnsi="仿宋" w:eastAsia="仿宋" w:cs="仿宋"/>
          <w:spacing w:val="9"/>
          <w:sz w:val="31"/>
          <w:szCs w:val="31"/>
        </w:rPr>
        <w:t>采用先进的勘查技术和勘查手段等措施加快资</w:t>
      </w:r>
      <w:r>
        <w:rPr>
          <w:rFonts w:ascii="仿宋" w:hAnsi="仿宋" w:eastAsia="仿宋" w:cs="仿宋"/>
          <w:spacing w:val="8"/>
          <w:sz w:val="31"/>
          <w:szCs w:val="31"/>
        </w:rPr>
        <w:t>源勘查，摸清锂矿、地热等重点矿种资源家底。</w:t>
      </w:r>
    </w:p>
    <w:p w14:paraId="1AA16329">
      <w:pPr>
        <w:spacing w:line="319" w:lineRule="auto"/>
        <w:ind w:left="46" w:right="120" w:firstLine="625"/>
        <w:rPr>
          <w:rFonts w:ascii="仿宋" w:hAnsi="仿宋" w:eastAsia="仿宋" w:cs="仿宋"/>
          <w:sz w:val="31"/>
          <w:szCs w:val="31"/>
        </w:rPr>
      </w:pPr>
      <w:r>
        <w:rPr>
          <w:rFonts w:ascii="微软雅黑" w:hAnsi="微软雅黑" w:eastAsia="微软雅黑" w:cs="微软雅黑"/>
          <w:spacing w:val="4"/>
          <w:position w:val="1"/>
          <w:sz w:val="31"/>
          <w:szCs w:val="31"/>
        </w:rPr>
        <w:t>禁止勘查矿种:</w:t>
      </w:r>
      <w:r>
        <w:rPr>
          <w:rFonts w:ascii="微软雅黑" w:hAnsi="微软雅黑" w:eastAsia="微软雅黑" w:cs="微软雅黑"/>
          <w:spacing w:val="43"/>
          <w:position w:val="1"/>
          <w:sz w:val="31"/>
          <w:szCs w:val="31"/>
        </w:rPr>
        <w:t xml:space="preserve">  </w:t>
      </w:r>
      <w:r>
        <w:rPr>
          <w:rFonts w:ascii="仿宋" w:hAnsi="仿宋" w:eastAsia="仿宋" w:cs="仿宋"/>
          <w:spacing w:val="4"/>
          <w:sz w:val="31"/>
          <w:szCs w:val="31"/>
        </w:rPr>
        <w:t>禁止勘查硫铁矿、泥炭等产能过剩、对</w:t>
      </w:r>
      <w:r>
        <w:rPr>
          <w:rFonts w:ascii="仿宋" w:hAnsi="仿宋" w:eastAsia="仿宋" w:cs="仿宋"/>
          <w:spacing w:val="7"/>
          <w:sz w:val="31"/>
          <w:szCs w:val="31"/>
        </w:rPr>
        <w:t>生态环境影响较大、受国家产业政策限制的矿产。</w:t>
      </w:r>
    </w:p>
    <w:p w14:paraId="67620585">
      <w:pPr>
        <w:spacing w:before="4" w:line="344" w:lineRule="auto"/>
        <w:ind w:left="36" w:right="48" w:firstLine="633"/>
        <w:rPr>
          <w:rFonts w:ascii="仿宋" w:hAnsi="仿宋" w:eastAsia="仿宋" w:cs="仿宋"/>
          <w:sz w:val="31"/>
          <w:szCs w:val="31"/>
        </w:rPr>
      </w:pPr>
      <w:r>
        <w:rPr>
          <w:rFonts w:ascii="微软雅黑" w:hAnsi="微软雅黑" w:eastAsia="微软雅黑" w:cs="微软雅黑"/>
          <w:spacing w:val="7"/>
          <w:position w:val="1"/>
          <w:sz w:val="31"/>
          <w:szCs w:val="31"/>
        </w:rPr>
        <w:t>重点开采矿种:</w:t>
      </w:r>
      <w:r>
        <w:rPr>
          <w:rFonts w:ascii="微软雅黑" w:hAnsi="微软雅黑" w:eastAsia="微软雅黑" w:cs="微软雅黑"/>
          <w:spacing w:val="42"/>
          <w:position w:val="1"/>
          <w:sz w:val="31"/>
          <w:szCs w:val="31"/>
        </w:rPr>
        <w:t xml:space="preserve">  </w:t>
      </w:r>
      <w:r>
        <w:rPr>
          <w:rFonts w:ascii="仿宋" w:hAnsi="仿宋" w:eastAsia="仿宋" w:cs="仿宋"/>
          <w:spacing w:val="7"/>
          <w:sz w:val="31"/>
          <w:szCs w:val="31"/>
        </w:rPr>
        <w:t>锂、地热和饮用矿泉水等矿产。在确保</w:t>
      </w:r>
      <w:r>
        <w:rPr>
          <w:rFonts w:ascii="仿宋" w:hAnsi="仿宋" w:eastAsia="仿宋" w:cs="仿宋"/>
          <w:spacing w:val="8"/>
          <w:sz w:val="31"/>
          <w:szCs w:val="31"/>
        </w:rPr>
        <w:t>生态、安全等前提下，督促锂矿矿业权人提升产能，提高资</w:t>
      </w:r>
      <w:r>
        <w:rPr>
          <w:rFonts w:ascii="仿宋" w:hAnsi="仿宋" w:eastAsia="仿宋" w:cs="仿宋"/>
          <w:spacing w:val="5"/>
          <w:sz w:val="31"/>
          <w:szCs w:val="31"/>
        </w:rPr>
        <w:t>源供应能力；积极推进地热、矿泉水开采区块的</w:t>
      </w:r>
      <w:r>
        <w:rPr>
          <w:rFonts w:ascii="仿宋" w:hAnsi="仿宋" w:eastAsia="仿宋" w:cs="仿宋"/>
          <w:spacing w:val="-105"/>
          <w:sz w:val="31"/>
          <w:szCs w:val="31"/>
        </w:rPr>
        <w:t xml:space="preserve"> </w:t>
      </w:r>
      <w:r>
        <w:rPr>
          <w:rFonts w:ascii="仿宋" w:hAnsi="仿宋" w:eastAsia="仿宋" w:cs="仿宋"/>
          <w:spacing w:val="5"/>
          <w:sz w:val="31"/>
          <w:szCs w:val="31"/>
        </w:rPr>
        <w:t>“净地”</w:t>
      </w:r>
      <w:r>
        <w:rPr>
          <w:rFonts w:ascii="仿宋" w:hAnsi="仿宋" w:eastAsia="仿宋" w:cs="仿宋"/>
          <w:spacing w:val="-117"/>
          <w:sz w:val="31"/>
          <w:szCs w:val="31"/>
        </w:rPr>
        <w:t xml:space="preserve"> </w:t>
      </w:r>
      <w:r>
        <w:rPr>
          <w:rFonts w:ascii="仿宋" w:hAnsi="仿宋" w:eastAsia="仿宋" w:cs="仿宋"/>
          <w:spacing w:val="5"/>
          <w:sz w:val="31"/>
          <w:szCs w:val="31"/>
        </w:rPr>
        <w:t>、</w:t>
      </w:r>
      <w:r>
        <w:rPr>
          <w:rFonts w:ascii="仿宋" w:hAnsi="仿宋" w:eastAsia="仿宋" w:cs="仿宋"/>
          <w:sz w:val="31"/>
          <w:szCs w:val="31"/>
        </w:rPr>
        <w:t xml:space="preserve"> </w:t>
      </w:r>
      <w:r>
        <w:rPr>
          <w:rFonts w:ascii="仿宋" w:hAnsi="仿宋" w:eastAsia="仿宋" w:cs="仿宋"/>
          <w:spacing w:val="8"/>
          <w:sz w:val="31"/>
          <w:szCs w:val="31"/>
        </w:rPr>
        <w:t>“净矿”一体出让的相关工作，为开发利用提供要素保障。</w:t>
      </w:r>
    </w:p>
    <w:p w14:paraId="12E06068">
      <w:pPr>
        <w:spacing w:before="4" w:line="335" w:lineRule="auto"/>
        <w:ind w:left="36" w:right="48" w:firstLine="659"/>
        <w:rPr>
          <w:rFonts w:ascii="仿宋" w:hAnsi="仿宋" w:eastAsia="仿宋" w:cs="仿宋"/>
          <w:sz w:val="31"/>
          <w:szCs w:val="31"/>
        </w:rPr>
      </w:pPr>
      <w:r>
        <w:rPr>
          <w:rFonts w:ascii="微软雅黑" w:hAnsi="微软雅黑" w:eastAsia="微软雅黑" w:cs="微软雅黑"/>
          <w:spacing w:val="5"/>
          <w:position w:val="1"/>
          <w:sz w:val="31"/>
          <w:szCs w:val="31"/>
        </w:rPr>
        <w:t xml:space="preserve">限制开采矿种:   </w:t>
      </w:r>
      <w:r>
        <w:rPr>
          <w:rFonts w:ascii="仿宋" w:hAnsi="仿宋" w:eastAsia="仿宋" w:cs="仿宋"/>
          <w:spacing w:val="5"/>
          <w:sz w:val="31"/>
          <w:szCs w:val="31"/>
        </w:rPr>
        <w:t>限制开采大理石等对大渡河流域产生破</w:t>
      </w:r>
      <w:r>
        <w:rPr>
          <w:rFonts w:ascii="仿宋" w:hAnsi="仿宋" w:eastAsia="仿宋" w:cs="仿宋"/>
          <w:spacing w:val="8"/>
          <w:sz w:val="31"/>
          <w:szCs w:val="31"/>
        </w:rPr>
        <w:t>坏的矿产。立足现已有矿权和开采规模，不新增采矿权和扩</w:t>
      </w:r>
      <w:r>
        <w:rPr>
          <w:rFonts w:ascii="仿宋" w:hAnsi="仿宋" w:eastAsia="仿宋" w:cs="仿宋"/>
          <w:spacing w:val="4"/>
          <w:sz w:val="31"/>
          <w:szCs w:val="31"/>
        </w:rPr>
        <w:t>大开采规模。</w:t>
      </w:r>
    </w:p>
    <w:p w14:paraId="3DC83D3C">
      <w:pPr>
        <w:spacing w:line="322" w:lineRule="auto"/>
        <w:ind w:left="26" w:right="130" w:firstLine="645"/>
        <w:rPr>
          <w:rFonts w:ascii="仿宋" w:hAnsi="仿宋" w:eastAsia="仿宋" w:cs="仿宋"/>
          <w:sz w:val="31"/>
          <w:szCs w:val="31"/>
        </w:rPr>
      </w:pPr>
      <w:r>
        <w:rPr>
          <w:rFonts w:ascii="微软雅黑" w:hAnsi="微软雅黑" w:eastAsia="微软雅黑" w:cs="微软雅黑"/>
          <w:spacing w:val="4"/>
          <w:sz w:val="31"/>
          <w:szCs w:val="31"/>
        </w:rPr>
        <w:t>禁止开采矿种:</w:t>
      </w:r>
      <w:r>
        <w:rPr>
          <w:rFonts w:ascii="微软雅黑" w:hAnsi="微软雅黑" w:eastAsia="微软雅黑" w:cs="微软雅黑"/>
          <w:spacing w:val="38"/>
          <w:sz w:val="31"/>
          <w:szCs w:val="31"/>
        </w:rPr>
        <w:t xml:space="preserve">  </w:t>
      </w:r>
      <w:r>
        <w:rPr>
          <w:rFonts w:ascii="仿宋" w:hAnsi="仿宋" w:eastAsia="仿宋" w:cs="仿宋"/>
          <w:spacing w:val="4"/>
          <w:sz w:val="31"/>
          <w:szCs w:val="31"/>
        </w:rPr>
        <w:t>禁止开采砂金、湿地泥炭、可耕地砖瓦</w:t>
      </w:r>
      <w:r>
        <w:rPr>
          <w:rFonts w:ascii="仿宋" w:hAnsi="仿宋" w:eastAsia="仿宋" w:cs="仿宋"/>
          <w:spacing w:val="8"/>
          <w:sz w:val="31"/>
          <w:szCs w:val="31"/>
        </w:rPr>
        <w:t>用粘土矿等对生态环境破坏较大的矿产。</w:t>
      </w:r>
    </w:p>
    <w:p w14:paraId="1CBBD23B">
      <w:pPr>
        <w:spacing w:before="3" w:line="372" w:lineRule="auto"/>
        <w:ind w:left="27" w:right="48" w:firstLine="643"/>
        <w:rPr>
          <w:rFonts w:ascii="黑体" w:hAnsi="黑体" w:eastAsia="黑体" w:cs="黑体"/>
          <w:sz w:val="31"/>
          <w:szCs w:val="31"/>
        </w:rPr>
      </w:pPr>
      <w:r>
        <w:rPr>
          <w:rFonts w:ascii="黑体" w:hAnsi="黑体" w:eastAsia="黑体" w:cs="黑体"/>
          <w:spacing w:val="8"/>
          <w:sz w:val="31"/>
          <w:szCs w:val="31"/>
        </w:rPr>
        <w:t>三、落实能源资源基地、国家规划矿区、战略性矿产保</w:t>
      </w:r>
      <w:r>
        <w:rPr>
          <w:rFonts w:ascii="黑体" w:hAnsi="黑体" w:eastAsia="黑体" w:cs="黑体"/>
          <w:spacing w:val="2"/>
          <w:sz w:val="31"/>
          <w:szCs w:val="31"/>
        </w:rPr>
        <w:t>护区</w:t>
      </w:r>
    </w:p>
    <w:p w14:paraId="4685E5F2">
      <w:pPr>
        <w:pStyle w:val="2"/>
        <w:spacing w:before="3" w:line="292" w:lineRule="auto"/>
        <w:ind w:left="28" w:right="18" w:firstLine="626"/>
        <w:jc w:val="both"/>
        <w:rPr>
          <w:rFonts w:ascii="仿宋" w:hAnsi="仿宋" w:eastAsia="仿宋" w:cs="仿宋"/>
          <w:sz w:val="31"/>
          <w:szCs w:val="31"/>
        </w:rPr>
      </w:pPr>
      <w:r>
        <w:rPr>
          <w:rFonts w:ascii="微软雅黑" w:hAnsi="微软雅黑" w:eastAsia="微软雅黑" w:cs="微软雅黑"/>
          <w:spacing w:val="-5"/>
          <w:sz w:val="32"/>
          <w:szCs w:val="32"/>
        </w:rPr>
        <w:t>进一步夯实能源资源基地</w:t>
      </w:r>
      <w:r>
        <w:rPr>
          <w:rFonts w:ascii="微软雅黑" w:hAnsi="微软雅黑" w:eastAsia="微软雅黑" w:cs="微软雅黑"/>
          <w:spacing w:val="-52"/>
          <w:sz w:val="32"/>
          <w:szCs w:val="32"/>
        </w:rPr>
        <w:t xml:space="preserve"> </w:t>
      </w:r>
      <w:r>
        <w:rPr>
          <w:spacing w:val="-5"/>
          <w:sz w:val="32"/>
          <w:szCs w:val="32"/>
        </w:rPr>
        <w:t>.</w:t>
      </w:r>
      <w:r>
        <w:rPr>
          <w:spacing w:val="49"/>
          <w:sz w:val="32"/>
          <w:szCs w:val="32"/>
        </w:rPr>
        <w:t xml:space="preserve"> </w:t>
      </w:r>
      <w:r>
        <w:rPr>
          <w:rFonts w:ascii="仿宋" w:hAnsi="仿宋" w:eastAsia="仿宋" w:cs="仿宋"/>
          <w:spacing w:val="-5"/>
          <w:sz w:val="31"/>
          <w:szCs w:val="31"/>
        </w:rPr>
        <w:t>落实</w:t>
      </w:r>
      <w:r>
        <w:rPr>
          <w:rFonts w:ascii="微软雅黑" w:hAnsi="微软雅黑" w:eastAsia="微软雅黑" w:cs="微软雅黑"/>
          <w:spacing w:val="-5"/>
          <w:sz w:val="32"/>
          <w:szCs w:val="32"/>
        </w:rPr>
        <w:t>四川马尔康可尔因-金川</w:t>
      </w:r>
      <w:r>
        <w:rPr>
          <w:rFonts w:ascii="微软雅黑" w:hAnsi="微软雅黑" w:eastAsia="微软雅黑" w:cs="微软雅黑"/>
          <w:spacing w:val="-2"/>
          <w:position w:val="1"/>
          <w:sz w:val="31"/>
          <w:szCs w:val="31"/>
        </w:rPr>
        <w:t>李家沟</w:t>
      </w:r>
      <w:r>
        <w:rPr>
          <w:rFonts w:ascii="仿宋" w:hAnsi="仿宋" w:eastAsia="仿宋" w:cs="仿宋"/>
          <w:spacing w:val="-2"/>
          <w:sz w:val="31"/>
          <w:szCs w:val="31"/>
        </w:rPr>
        <w:t>能源资源基地，主要涉及马尔康市、金川县及壤塘县，</w:t>
      </w:r>
      <w:r>
        <w:rPr>
          <w:rFonts w:ascii="仿宋" w:hAnsi="仿宋" w:eastAsia="仿宋" w:cs="仿宋"/>
          <w:spacing w:val="9"/>
          <w:sz w:val="31"/>
          <w:szCs w:val="31"/>
        </w:rPr>
        <w:t>有序推进锂辉石矿基地建设，规模集约开发</w:t>
      </w:r>
      <w:r>
        <w:rPr>
          <w:rFonts w:ascii="仿宋" w:hAnsi="仿宋" w:eastAsia="仿宋" w:cs="仿宋"/>
          <w:spacing w:val="8"/>
          <w:sz w:val="31"/>
          <w:szCs w:val="31"/>
        </w:rPr>
        <w:t>可尔因地区锂辉</w:t>
      </w:r>
      <w:r>
        <w:rPr>
          <w:rFonts w:ascii="仿宋" w:hAnsi="仿宋" w:eastAsia="仿宋" w:cs="仿宋"/>
          <w:spacing w:val="10"/>
          <w:sz w:val="31"/>
          <w:szCs w:val="31"/>
        </w:rPr>
        <w:t>石矿。可尔因地区查明</w:t>
      </w:r>
      <w:r>
        <w:rPr>
          <w:rFonts w:ascii="仿宋" w:hAnsi="仿宋" w:eastAsia="仿宋" w:cs="仿宋"/>
          <w:sz w:val="31"/>
          <w:szCs w:val="31"/>
        </w:rPr>
        <w:t>Li</w:t>
      </w:r>
      <w:r>
        <w:rPr>
          <w:rFonts w:ascii="仿宋" w:hAnsi="仿宋" w:eastAsia="仿宋" w:cs="仿宋"/>
          <w:spacing w:val="10"/>
          <w:position w:val="-2"/>
          <w:sz w:val="15"/>
          <w:szCs w:val="15"/>
        </w:rPr>
        <w:t>2</w:t>
      </w:r>
      <w:r>
        <w:rPr>
          <w:rFonts w:ascii="仿宋" w:hAnsi="仿宋" w:eastAsia="仿宋" w:cs="仿宋"/>
          <w:spacing w:val="10"/>
          <w:sz w:val="31"/>
          <w:szCs w:val="31"/>
        </w:rPr>
        <w:t>O达140.04万吨，资源量可观，州</w:t>
      </w:r>
      <w:r>
        <w:rPr>
          <w:rFonts w:ascii="仿宋" w:hAnsi="仿宋" w:eastAsia="仿宋" w:cs="仿宋"/>
          <w:spacing w:val="9"/>
          <w:sz w:val="31"/>
          <w:szCs w:val="31"/>
        </w:rPr>
        <w:t>人民政府成立阿坝州锂资源综合开发利用领</w:t>
      </w:r>
      <w:r>
        <w:rPr>
          <w:rFonts w:ascii="仿宋" w:hAnsi="仿宋" w:eastAsia="仿宋" w:cs="仿宋"/>
          <w:spacing w:val="8"/>
          <w:sz w:val="31"/>
          <w:szCs w:val="31"/>
        </w:rPr>
        <w:t>导小组，以州长为组长，形成协调联动</w:t>
      </w:r>
      <w:r>
        <w:rPr>
          <w:rFonts w:ascii="Times New Roman" w:hAnsi="Times New Roman" w:eastAsia="Times New Roman" w:cs="Times New Roman"/>
          <w:spacing w:val="8"/>
          <w:sz w:val="31"/>
          <w:szCs w:val="31"/>
        </w:rPr>
        <w:t>l7</w:t>
      </w:r>
      <w:r>
        <w:rPr>
          <w:rFonts w:ascii="仿宋" w:hAnsi="仿宋" w:eastAsia="仿宋" w:cs="仿宋"/>
          <w:spacing w:val="8"/>
          <w:sz w:val="31"/>
          <w:szCs w:val="31"/>
        </w:rPr>
        <w:t>个政府组成部门的机制，</w:t>
      </w:r>
      <w:r>
        <w:rPr>
          <w:rFonts w:ascii="仿宋" w:hAnsi="仿宋" w:eastAsia="仿宋" w:cs="仿宋"/>
          <w:spacing w:val="-76"/>
          <w:sz w:val="31"/>
          <w:szCs w:val="31"/>
        </w:rPr>
        <w:t xml:space="preserve"> </w:t>
      </w:r>
      <w:r>
        <w:rPr>
          <w:rFonts w:ascii="仿宋" w:hAnsi="仿宋" w:eastAsia="仿宋" w:cs="仿宋"/>
          <w:spacing w:val="8"/>
          <w:sz w:val="31"/>
          <w:szCs w:val="31"/>
        </w:rPr>
        <w:t>以自然资</w:t>
      </w:r>
      <w:r>
        <w:rPr>
          <w:rFonts w:ascii="仿宋" w:hAnsi="仿宋" w:eastAsia="仿宋" w:cs="仿宋"/>
          <w:spacing w:val="18"/>
          <w:sz w:val="31"/>
          <w:szCs w:val="31"/>
        </w:rPr>
        <w:t>源局牵头设置勘查开采组，</w:t>
      </w:r>
      <w:r>
        <w:rPr>
          <w:rFonts w:ascii="仿宋" w:hAnsi="仿宋" w:eastAsia="仿宋" w:cs="仿宋"/>
          <w:spacing w:val="-68"/>
          <w:sz w:val="31"/>
          <w:szCs w:val="31"/>
        </w:rPr>
        <w:t xml:space="preserve"> </w:t>
      </w:r>
      <w:r>
        <w:rPr>
          <w:rFonts w:ascii="仿宋" w:hAnsi="仿宋" w:eastAsia="仿宋" w:cs="仿宋"/>
          <w:spacing w:val="18"/>
          <w:sz w:val="31"/>
          <w:szCs w:val="31"/>
        </w:rPr>
        <w:t>以州发改委牵头设置产业发展</w:t>
      </w:r>
    </w:p>
    <w:p w14:paraId="1340853C">
      <w:pPr>
        <w:spacing w:line="292" w:lineRule="auto"/>
        <w:rPr>
          <w:rFonts w:ascii="仿宋" w:hAnsi="仿宋" w:eastAsia="仿宋" w:cs="仿宋"/>
          <w:sz w:val="31"/>
          <w:szCs w:val="31"/>
        </w:rPr>
        <w:sectPr>
          <w:footerReference r:id="rId25" w:type="default"/>
          <w:pgSz w:w="11904" w:h="16835"/>
          <w:pgMar w:top="1430" w:right="1753" w:bottom="1289" w:left="1785" w:header="0" w:footer="923" w:gutter="0"/>
          <w:cols w:space="720" w:num="1"/>
        </w:sectPr>
      </w:pPr>
    </w:p>
    <w:p w14:paraId="288A392F">
      <w:pPr>
        <w:spacing w:before="140" w:line="322" w:lineRule="auto"/>
        <w:ind w:left="26" w:right="120" w:firstLine="3"/>
        <w:rPr>
          <w:rFonts w:ascii="仿宋" w:hAnsi="仿宋" w:eastAsia="仿宋" w:cs="仿宋"/>
          <w:sz w:val="31"/>
          <w:szCs w:val="31"/>
        </w:rPr>
      </w:pPr>
      <w:r>
        <w:rPr>
          <w:rFonts w:ascii="仿宋" w:hAnsi="仿宋" w:eastAsia="仿宋" w:cs="仿宋"/>
          <w:spacing w:val="9"/>
          <w:sz w:val="31"/>
          <w:szCs w:val="31"/>
        </w:rPr>
        <w:t>组，立足现有探矿权和采矿权，依托现有李家沟、业隆沟、党坝金鑫等锂矿矿山，稳步有序推进龙古、溯</w:t>
      </w:r>
      <w:r>
        <w:rPr>
          <w:rFonts w:ascii="仿宋" w:hAnsi="仿宋" w:eastAsia="仿宋" w:cs="仿宋"/>
          <w:spacing w:val="8"/>
          <w:sz w:val="31"/>
          <w:szCs w:val="31"/>
        </w:rPr>
        <w:t>寨、地拉秋等</w:t>
      </w:r>
      <w:r>
        <w:rPr>
          <w:rFonts w:ascii="仿宋" w:hAnsi="仿宋" w:eastAsia="仿宋" w:cs="仿宋"/>
          <w:spacing w:val="9"/>
          <w:sz w:val="31"/>
          <w:szCs w:val="31"/>
        </w:rPr>
        <w:t>锂辉石矿区新建规模以上矿山。积极协调和引</w:t>
      </w:r>
      <w:r>
        <w:rPr>
          <w:rFonts w:ascii="仿宋" w:hAnsi="仿宋" w:eastAsia="仿宋" w:cs="仿宋"/>
          <w:spacing w:val="8"/>
          <w:sz w:val="31"/>
          <w:szCs w:val="31"/>
        </w:rPr>
        <w:t>进规模以上资</w:t>
      </w:r>
      <w:r>
        <w:rPr>
          <w:rFonts w:ascii="仿宋" w:hAnsi="仿宋" w:eastAsia="仿宋" w:cs="仿宋"/>
          <w:spacing w:val="9"/>
          <w:sz w:val="31"/>
          <w:szCs w:val="31"/>
        </w:rPr>
        <w:t>本进入基地，整合已有探采矿权。推动矿山企</w:t>
      </w:r>
      <w:r>
        <w:rPr>
          <w:rFonts w:ascii="仿宋" w:hAnsi="仿宋" w:eastAsia="仿宋" w:cs="仿宋"/>
          <w:spacing w:val="8"/>
          <w:sz w:val="31"/>
          <w:szCs w:val="31"/>
        </w:rPr>
        <w:t>业与中下游生</w:t>
      </w:r>
      <w:r>
        <w:rPr>
          <w:rFonts w:ascii="仿宋" w:hAnsi="仿宋" w:eastAsia="仿宋" w:cs="仿宋"/>
          <w:spacing w:val="-2"/>
          <w:sz w:val="31"/>
          <w:szCs w:val="31"/>
        </w:rPr>
        <w:t>产企业进行深度合作，积极鼓励有意愿的企</w:t>
      </w:r>
      <w:r>
        <w:rPr>
          <w:rFonts w:ascii="仿宋" w:hAnsi="仿宋" w:eastAsia="仿宋" w:cs="仿宋"/>
          <w:spacing w:val="-3"/>
          <w:sz w:val="31"/>
          <w:szCs w:val="31"/>
        </w:rPr>
        <w:t>业进驻“成阿”、</w:t>
      </w:r>
      <w:r>
        <w:rPr>
          <w:rFonts w:ascii="仿宋" w:hAnsi="仿宋" w:eastAsia="仿宋" w:cs="仿宋"/>
          <w:sz w:val="31"/>
          <w:szCs w:val="31"/>
        </w:rPr>
        <w:t xml:space="preserve"> </w:t>
      </w:r>
      <w:r>
        <w:rPr>
          <w:rFonts w:ascii="仿宋" w:hAnsi="仿宋" w:eastAsia="仿宋" w:cs="仿宋"/>
          <w:spacing w:val="9"/>
          <w:sz w:val="31"/>
          <w:szCs w:val="31"/>
        </w:rPr>
        <w:t>“德阿”工业园，推动企业引进高端人才和先</w:t>
      </w:r>
      <w:r>
        <w:rPr>
          <w:rFonts w:ascii="仿宋" w:hAnsi="仿宋" w:eastAsia="仿宋" w:cs="仿宋"/>
          <w:spacing w:val="8"/>
          <w:sz w:val="31"/>
          <w:szCs w:val="31"/>
        </w:rPr>
        <w:t>进技术，对综</w:t>
      </w:r>
      <w:r>
        <w:rPr>
          <w:rFonts w:ascii="仿宋" w:hAnsi="仿宋" w:eastAsia="仿宋" w:cs="仿宋"/>
          <w:spacing w:val="21"/>
          <w:sz w:val="31"/>
          <w:szCs w:val="31"/>
        </w:rPr>
        <w:t>合利用和精深加工进行探索和研究，推动形成规模化集约</w:t>
      </w:r>
      <w:r>
        <w:rPr>
          <w:rFonts w:ascii="仿宋" w:hAnsi="仿宋" w:eastAsia="仿宋" w:cs="仿宋"/>
          <w:spacing w:val="8"/>
          <w:sz w:val="31"/>
          <w:szCs w:val="31"/>
        </w:rPr>
        <w:t>化，抗风险强、稳定生产的资源基地。</w:t>
      </w:r>
    </w:p>
    <w:p w14:paraId="4BBBE4FD">
      <w:pPr>
        <w:spacing w:line="221" w:lineRule="exact"/>
      </w:pPr>
    </w:p>
    <w:tbl>
      <w:tblPr>
        <w:tblStyle w:val="5"/>
        <w:tblW w:w="8423"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3"/>
      </w:tblGrid>
      <w:tr w14:paraId="7EE64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423" w:type="dxa"/>
            <w:shd w:val="clear" w:color="auto" w:fill="9FD3A4"/>
            <w:vAlign w:val="top"/>
          </w:tcPr>
          <w:p w14:paraId="7BD85F35">
            <w:pPr>
              <w:spacing w:before="149" w:line="223" w:lineRule="auto"/>
              <w:ind w:left="2166"/>
              <w:rPr>
                <w:rFonts w:ascii="黑体" w:hAnsi="黑体" w:eastAsia="黑体" w:cs="黑体"/>
                <w:sz w:val="28"/>
                <w:szCs w:val="28"/>
              </w:rPr>
            </w:pPr>
            <w:r>
              <w:rPr>
                <w:rFonts w:ascii="黑体" w:hAnsi="黑体" w:eastAsia="黑体" w:cs="黑体"/>
                <w:spacing w:val="3"/>
                <w:sz w:val="28"/>
                <w:szCs w:val="28"/>
              </w:rPr>
              <w:t>专栏6  阿坝州能源资源安全保障建设</w:t>
            </w:r>
          </w:p>
        </w:tc>
      </w:tr>
      <w:tr w14:paraId="70302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1" w:hRule="atLeast"/>
        </w:trPr>
        <w:tc>
          <w:tcPr>
            <w:tcW w:w="8423" w:type="dxa"/>
            <w:vAlign w:val="top"/>
          </w:tcPr>
          <w:p w14:paraId="01807B52">
            <w:pPr>
              <w:spacing w:before="101" w:line="229" w:lineRule="auto"/>
              <w:ind w:left="123"/>
              <w:rPr>
                <w:rFonts w:ascii="黑体" w:hAnsi="黑体" w:eastAsia="黑体" w:cs="黑体"/>
                <w:sz w:val="23"/>
                <w:szCs w:val="23"/>
              </w:rPr>
            </w:pPr>
            <w:r>
              <w:rPr>
                <w:rFonts w:ascii="黑体" w:hAnsi="黑体" w:eastAsia="黑体" w:cs="黑体"/>
                <w:spacing w:val="11"/>
                <w:sz w:val="23"/>
                <w:szCs w:val="23"/>
              </w:rPr>
              <w:t>一、国家级能源资源基地（1个）</w:t>
            </w:r>
          </w:p>
          <w:p w14:paraId="1612C669">
            <w:pPr>
              <w:pStyle w:val="6"/>
              <w:spacing w:before="98" w:line="164" w:lineRule="auto"/>
              <w:ind w:left="626"/>
              <w:rPr>
                <w:sz w:val="23"/>
                <w:szCs w:val="23"/>
              </w:rPr>
            </w:pPr>
            <w:r>
              <w:rPr>
                <w:rFonts w:ascii="微软雅黑" w:hAnsi="微软雅黑" w:eastAsia="微软雅黑" w:cs="微软雅黑"/>
                <w:spacing w:val="-2"/>
                <w:sz w:val="24"/>
                <w:szCs w:val="24"/>
              </w:rPr>
              <w:t>四川马尔康可尔因-金川李家沟</w:t>
            </w:r>
            <w:r>
              <w:rPr>
                <w:spacing w:val="-2"/>
                <w:position w:val="-7"/>
                <w:sz w:val="23"/>
                <w:szCs w:val="23"/>
              </w:rPr>
              <w:t>。</w:t>
            </w:r>
            <w:r>
              <w:rPr>
                <w:spacing w:val="-2"/>
                <w:sz w:val="23"/>
                <w:szCs w:val="23"/>
              </w:rPr>
              <w:t>/</w:t>
            </w:r>
          </w:p>
          <w:p w14:paraId="40473B16">
            <w:pPr>
              <w:spacing w:before="171" w:line="230" w:lineRule="auto"/>
              <w:ind w:left="603"/>
              <w:rPr>
                <w:rFonts w:ascii="黑体" w:hAnsi="黑体" w:eastAsia="黑体" w:cs="黑体"/>
                <w:sz w:val="23"/>
                <w:szCs w:val="23"/>
              </w:rPr>
            </w:pPr>
            <w:r>
              <w:rPr>
                <w:rFonts w:ascii="黑体" w:hAnsi="黑体" w:eastAsia="黑体" w:cs="黑体"/>
                <w:spacing w:val="12"/>
                <w:sz w:val="23"/>
                <w:szCs w:val="23"/>
              </w:rPr>
              <w:t>二、国家规划矿区（1个）</w:t>
            </w:r>
          </w:p>
          <w:p w14:paraId="19089404">
            <w:pPr>
              <w:pStyle w:val="6"/>
              <w:spacing w:before="104" w:line="163" w:lineRule="auto"/>
              <w:ind w:left="1182"/>
              <w:rPr>
                <w:sz w:val="23"/>
                <w:szCs w:val="23"/>
              </w:rPr>
            </w:pPr>
            <w:r>
              <w:rPr>
                <w:rFonts w:ascii="微软雅黑" w:hAnsi="微软雅黑" w:eastAsia="微软雅黑" w:cs="微软雅黑"/>
                <w:sz w:val="24"/>
                <w:szCs w:val="24"/>
              </w:rPr>
              <w:t>四川绵阳-成都-南充油气</w:t>
            </w:r>
            <w:r>
              <w:rPr>
                <w:rFonts w:ascii="微软雅黑" w:hAnsi="微软雅黑" w:eastAsia="微软雅黑" w:cs="微软雅黑"/>
                <w:spacing w:val="71"/>
                <w:sz w:val="24"/>
                <w:szCs w:val="24"/>
              </w:rPr>
              <w:t xml:space="preserve"> </w:t>
            </w:r>
            <w:r>
              <w:rPr>
                <w:rFonts w:ascii="Arial" w:hAnsi="Arial" w:eastAsia="Arial" w:cs="Arial"/>
                <w:sz w:val="24"/>
                <w:szCs w:val="24"/>
              </w:rPr>
              <w:t xml:space="preserve">( </w:t>
            </w:r>
            <w:r>
              <w:rPr>
                <w:rFonts w:ascii="微软雅黑" w:hAnsi="微软雅黑" w:eastAsia="微软雅黑" w:cs="微软雅黑"/>
                <w:sz w:val="24"/>
                <w:szCs w:val="24"/>
              </w:rPr>
              <w:t>阿坝部分)</w:t>
            </w:r>
            <w:r>
              <w:rPr>
                <w:rFonts w:ascii="微软雅黑" w:hAnsi="微软雅黑" w:eastAsia="微软雅黑" w:cs="微软雅黑"/>
                <w:spacing w:val="38"/>
                <w:sz w:val="24"/>
                <w:szCs w:val="24"/>
              </w:rPr>
              <w:t xml:space="preserve"> </w:t>
            </w:r>
            <w:r>
              <w:rPr>
                <w:position w:val="-7"/>
                <w:sz w:val="23"/>
                <w:szCs w:val="23"/>
              </w:rPr>
              <w:t>。</w:t>
            </w:r>
            <w:r>
              <w:rPr>
                <w:sz w:val="23"/>
                <w:szCs w:val="23"/>
              </w:rPr>
              <w:t>/</w:t>
            </w:r>
          </w:p>
          <w:p w14:paraId="306C3508">
            <w:pPr>
              <w:spacing w:before="291" w:line="229" w:lineRule="auto"/>
              <w:ind w:left="604"/>
              <w:rPr>
                <w:rFonts w:ascii="黑体" w:hAnsi="黑体" w:eastAsia="黑体" w:cs="黑体"/>
                <w:sz w:val="23"/>
                <w:szCs w:val="23"/>
              </w:rPr>
            </w:pPr>
            <w:r>
              <w:rPr>
                <w:rFonts w:ascii="黑体" w:hAnsi="黑体" w:eastAsia="黑体" w:cs="黑体"/>
                <w:spacing w:val="13"/>
                <w:sz w:val="23"/>
                <w:szCs w:val="23"/>
              </w:rPr>
              <w:t>三、省级战略性矿产资源保护区</w:t>
            </w:r>
            <w:r>
              <w:rPr>
                <w:rFonts w:ascii="黑体" w:hAnsi="黑体" w:eastAsia="黑体" w:cs="黑体"/>
                <w:spacing w:val="-3"/>
                <w:sz w:val="23"/>
                <w:szCs w:val="23"/>
              </w:rPr>
              <w:t>：（</w:t>
            </w:r>
            <w:r>
              <w:rPr>
                <w:rFonts w:ascii="黑体" w:hAnsi="黑体" w:eastAsia="黑体" w:cs="黑体"/>
                <w:spacing w:val="13"/>
                <w:sz w:val="23"/>
                <w:szCs w:val="23"/>
              </w:rPr>
              <w:t>1个）</w:t>
            </w:r>
          </w:p>
          <w:p w14:paraId="58E5F5FC">
            <w:pPr>
              <w:pStyle w:val="6"/>
              <w:spacing w:before="104" w:line="164" w:lineRule="auto"/>
              <w:ind w:left="595"/>
              <w:rPr>
                <w:sz w:val="23"/>
                <w:szCs w:val="23"/>
              </w:rPr>
            </w:pPr>
            <w:r>
              <w:rPr>
                <w:rFonts w:ascii="微软雅黑" w:hAnsi="微软雅黑" w:eastAsia="微软雅黑" w:cs="微软雅黑"/>
                <w:spacing w:val="-2"/>
                <w:sz w:val="24"/>
                <w:szCs w:val="24"/>
              </w:rPr>
              <w:t>磷矿</w:t>
            </w:r>
            <w:r>
              <w:rPr>
                <w:rFonts w:ascii="微软雅黑" w:hAnsi="微软雅黑" w:eastAsia="微软雅黑" w:cs="微软雅黑"/>
                <w:spacing w:val="66"/>
                <w:sz w:val="24"/>
                <w:szCs w:val="24"/>
              </w:rPr>
              <w:t xml:space="preserve"> </w:t>
            </w:r>
            <w:r>
              <w:rPr>
                <w:rFonts w:ascii="Arial" w:hAnsi="Arial" w:eastAsia="Arial" w:cs="Arial"/>
                <w:spacing w:val="-2"/>
                <w:sz w:val="24"/>
                <w:szCs w:val="24"/>
              </w:rPr>
              <w:t>( 1</w:t>
            </w:r>
            <w:r>
              <w:rPr>
                <w:rFonts w:ascii="Arial" w:hAnsi="Arial" w:eastAsia="Arial" w:cs="Arial"/>
                <w:spacing w:val="20"/>
                <w:w w:val="101"/>
                <w:sz w:val="24"/>
                <w:szCs w:val="24"/>
              </w:rPr>
              <w:t xml:space="preserve"> </w:t>
            </w:r>
            <w:r>
              <w:rPr>
                <w:rFonts w:ascii="微软雅黑" w:hAnsi="微软雅黑" w:eastAsia="微软雅黑" w:cs="微软雅黑"/>
                <w:spacing w:val="-2"/>
                <w:sz w:val="24"/>
                <w:szCs w:val="24"/>
              </w:rPr>
              <w:t xml:space="preserve">个)  </w:t>
            </w:r>
            <w:r>
              <w:rPr>
                <w:rFonts w:ascii="Arial" w:hAnsi="Arial" w:eastAsia="Arial" w:cs="Arial"/>
                <w:spacing w:val="-2"/>
                <w:sz w:val="24"/>
                <w:szCs w:val="24"/>
              </w:rPr>
              <w:t>:</w:t>
            </w:r>
            <w:r>
              <w:rPr>
                <w:rFonts w:ascii="Arial" w:hAnsi="Arial" w:eastAsia="Arial" w:cs="Arial"/>
                <w:spacing w:val="21"/>
                <w:w w:val="101"/>
                <w:sz w:val="24"/>
                <w:szCs w:val="24"/>
              </w:rPr>
              <w:t xml:space="preserve">  </w:t>
            </w:r>
            <w:r>
              <w:rPr>
                <w:rFonts w:ascii="微软雅黑" w:hAnsi="微软雅黑" w:eastAsia="微软雅黑" w:cs="微软雅黑"/>
                <w:spacing w:val="-2"/>
                <w:sz w:val="24"/>
                <w:szCs w:val="24"/>
              </w:rPr>
              <w:t>什</w:t>
            </w:r>
            <w:r>
              <w:rPr>
                <w:position w:val="-3"/>
                <w:sz w:val="24"/>
                <w:szCs w:val="24"/>
              </w:rPr>
              <w:drawing>
                <wp:inline distT="0" distB="0" distL="0" distR="0">
                  <wp:extent cx="150495" cy="15049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7"/>
                          <a:stretch>
                            <a:fillRect/>
                          </a:stretch>
                        </pic:blipFill>
                        <pic:spPr>
                          <a:xfrm>
                            <a:off x="0" y="0"/>
                            <a:ext cx="150840" cy="150708"/>
                          </a:xfrm>
                          <a:prstGeom prst="rect">
                            <a:avLst/>
                          </a:prstGeom>
                        </pic:spPr>
                      </pic:pic>
                    </a:graphicData>
                  </a:graphic>
                </wp:inline>
              </w:drawing>
            </w:r>
            <w:r>
              <w:rPr>
                <w:rFonts w:ascii="微软雅黑" w:hAnsi="微软雅黑" w:eastAsia="微软雅黑" w:cs="微软雅黑"/>
                <w:strike/>
                <w:spacing w:val="70"/>
                <w:sz w:val="24"/>
                <w:szCs w:val="24"/>
              </w:rPr>
              <w:t xml:space="preserve"> </w:t>
            </w:r>
            <w:r>
              <w:rPr>
                <w:rFonts w:ascii="微软雅黑" w:hAnsi="微软雅黑" w:eastAsia="微软雅黑" w:cs="微软雅黑"/>
                <w:spacing w:val="-2"/>
                <w:sz w:val="24"/>
                <w:szCs w:val="24"/>
              </w:rPr>
              <w:t>绵竹-茂县板棚子</w:t>
            </w:r>
            <w:r>
              <w:rPr>
                <w:rFonts w:ascii="微软雅黑" w:hAnsi="微软雅黑" w:eastAsia="微软雅黑" w:cs="微软雅黑"/>
                <w:spacing w:val="55"/>
                <w:w w:val="101"/>
                <w:sz w:val="24"/>
                <w:szCs w:val="24"/>
              </w:rPr>
              <w:t xml:space="preserve"> </w:t>
            </w:r>
            <w:r>
              <w:rPr>
                <w:rFonts w:ascii="Arial" w:hAnsi="Arial" w:eastAsia="Arial" w:cs="Arial"/>
                <w:spacing w:val="-2"/>
                <w:sz w:val="24"/>
                <w:szCs w:val="24"/>
              </w:rPr>
              <w:t xml:space="preserve">( </w:t>
            </w:r>
            <w:r>
              <w:rPr>
                <w:rFonts w:ascii="微软雅黑" w:hAnsi="微软雅黑" w:eastAsia="微软雅黑" w:cs="微软雅黑"/>
                <w:spacing w:val="-2"/>
                <w:sz w:val="24"/>
                <w:szCs w:val="24"/>
              </w:rPr>
              <w:t>阿坝部分)</w:t>
            </w:r>
            <w:r>
              <w:rPr>
                <w:rFonts w:ascii="微软雅黑" w:hAnsi="微软雅黑" w:eastAsia="微软雅黑" w:cs="微软雅黑"/>
                <w:spacing w:val="37"/>
                <w:w w:val="101"/>
                <w:sz w:val="24"/>
                <w:szCs w:val="24"/>
              </w:rPr>
              <w:t xml:space="preserve"> </w:t>
            </w:r>
            <w:r>
              <w:rPr>
                <w:spacing w:val="-2"/>
                <w:position w:val="-7"/>
                <w:sz w:val="23"/>
                <w:szCs w:val="23"/>
              </w:rPr>
              <w:t>。</w:t>
            </w:r>
            <w:r>
              <w:rPr>
                <w:spacing w:val="-2"/>
                <w:sz w:val="23"/>
                <w:szCs w:val="23"/>
              </w:rPr>
              <w:t>/</w:t>
            </w:r>
          </w:p>
        </w:tc>
      </w:tr>
    </w:tbl>
    <w:p w14:paraId="69ED5F60">
      <w:pPr>
        <w:tabs>
          <w:tab w:val="left" w:pos="196"/>
        </w:tabs>
        <w:spacing w:before="120" w:line="309" w:lineRule="auto"/>
        <w:ind w:left="22" w:right="140" w:firstLine="655"/>
        <w:jc w:val="both"/>
        <w:rPr>
          <w:rFonts w:ascii="仿宋" w:hAnsi="仿宋" w:eastAsia="仿宋" w:cs="仿宋"/>
          <w:sz w:val="31"/>
          <w:szCs w:val="31"/>
        </w:rPr>
      </w:pPr>
      <w:r>
        <w:rPr>
          <w:rFonts w:ascii="微软雅黑" w:hAnsi="微软雅黑" w:eastAsia="微软雅黑" w:cs="微软雅黑"/>
          <w:spacing w:val="-8"/>
          <w:sz w:val="32"/>
          <w:szCs w:val="32"/>
        </w:rPr>
        <w:t>多举措推进国家规划矿区落实。</w:t>
      </w:r>
      <w:r>
        <w:rPr>
          <w:rFonts w:ascii="仿宋" w:hAnsi="仿宋" w:eastAsia="仿宋" w:cs="仿宋"/>
          <w:spacing w:val="-8"/>
          <w:sz w:val="31"/>
          <w:szCs w:val="31"/>
        </w:rPr>
        <w:t>落实</w:t>
      </w:r>
      <w:r>
        <w:rPr>
          <w:rFonts w:ascii="微软雅黑" w:hAnsi="微软雅黑" w:eastAsia="微软雅黑" w:cs="微软雅黑"/>
          <w:spacing w:val="-8"/>
          <w:sz w:val="32"/>
          <w:szCs w:val="32"/>
        </w:rPr>
        <w:t>四川盆地绵阳-成都</w:t>
      </w:r>
      <w:r>
        <w:rPr>
          <w:rFonts w:ascii="微软雅黑" w:hAnsi="微软雅黑" w:eastAsia="微软雅黑" w:cs="微软雅黑"/>
          <w:strike/>
          <w:sz w:val="31"/>
          <w:szCs w:val="31"/>
        </w:rPr>
        <w:tab/>
      </w:r>
      <w:r>
        <w:rPr>
          <w:rFonts w:ascii="微软雅黑" w:hAnsi="微软雅黑" w:eastAsia="微软雅黑" w:cs="微软雅黑"/>
          <w:spacing w:val="2"/>
          <w:sz w:val="31"/>
          <w:szCs w:val="31"/>
        </w:rPr>
        <w:t>南充天然气国家规划矿区</w:t>
      </w:r>
      <w:r>
        <w:rPr>
          <w:rFonts w:ascii="仿宋" w:hAnsi="仿宋" w:eastAsia="仿宋" w:cs="仿宋"/>
          <w:spacing w:val="2"/>
          <w:position w:val="-9"/>
          <w:sz w:val="31"/>
          <w:szCs w:val="31"/>
        </w:rPr>
        <w:t>，</w:t>
      </w:r>
      <w:r>
        <w:rPr>
          <w:rFonts w:ascii="仿宋" w:hAnsi="仿宋" w:eastAsia="仿宋" w:cs="仿宋"/>
          <w:spacing w:val="2"/>
          <w:sz w:val="31"/>
          <w:szCs w:val="31"/>
        </w:rPr>
        <w:t>涉及龙门山西缘</w:t>
      </w:r>
      <w:r>
        <w:rPr>
          <w:rFonts w:ascii="仿宋" w:hAnsi="仿宋" w:eastAsia="仿宋" w:cs="仿宋"/>
          <w:spacing w:val="2"/>
          <w:position w:val="-9"/>
          <w:sz w:val="31"/>
          <w:szCs w:val="31"/>
        </w:rPr>
        <w:t>，</w:t>
      </w:r>
      <w:r>
        <w:rPr>
          <w:rFonts w:ascii="仿宋" w:hAnsi="仿宋" w:eastAsia="仿宋" w:cs="仿宋"/>
          <w:spacing w:val="2"/>
          <w:sz w:val="31"/>
          <w:szCs w:val="31"/>
        </w:rPr>
        <w:t>与绵阳</w:t>
      </w:r>
      <w:r>
        <w:rPr>
          <w:rFonts w:ascii="仿宋" w:hAnsi="仿宋" w:eastAsia="仿宋" w:cs="仿宋"/>
          <w:spacing w:val="2"/>
          <w:position w:val="-9"/>
          <w:sz w:val="31"/>
          <w:szCs w:val="31"/>
        </w:rPr>
        <w:t>，</w:t>
      </w:r>
      <w:r>
        <w:rPr>
          <w:rFonts w:ascii="仿宋" w:hAnsi="仿宋" w:eastAsia="仿宋" w:cs="仿宋"/>
          <w:spacing w:val="2"/>
          <w:sz w:val="31"/>
          <w:szCs w:val="31"/>
        </w:rPr>
        <w:t>成都</w:t>
      </w:r>
      <w:r>
        <w:rPr>
          <w:rFonts w:ascii="仿宋" w:hAnsi="仿宋" w:eastAsia="仿宋" w:cs="仿宋"/>
          <w:spacing w:val="9"/>
          <w:sz w:val="31"/>
          <w:szCs w:val="31"/>
        </w:rPr>
        <w:t>相接壤的汶川、茂县、松潘、九寨沟地区。积极配合盆</w:t>
      </w:r>
      <w:r>
        <w:rPr>
          <w:rFonts w:ascii="仿宋" w:hAnsi="仿宋" w:eastAsia="仿宋" w:cs="仿宋"/>
          <w:spacing w:val="8"/>
          <w:sz w:val="31"/>
          <w:szCs w:val="31"/>
        </w:rPr>
        <w:t>地内</w:t>
      </w:r>
      <w:r>
        <w:rPr>
          <w:rFonts w:ascii="仿宋" w:hAnsi="仿宋" w:eastAsia="仿宋" w:cs="仿宋"/>
          <w:spacing w:val="9"/>
          <w:sz w:val="31"/>
          <w:szCs w:val="31"/>
        </w:rPr>
        <w:t>做好国家规划矿区的生产要素和资源配置，配合盆地内</w:t>
      </w:r>
      <w:r>
        <w:rPr>
          <w:rFonts w:ascii="仿宋" w:hAnsi="仿宋" w:eastAsia="仿宋" w:cs="仿宋"/>
          <w:spacing w:val="8"/>
          <w:sz w:val="31"/>
          <w:szCs w:val="31"/>
        </w:rPr>
        <w:t>天然</w:t>
      </w:r>
    </w:p>
    <w:p w14:paraId="7BCA7148">
      <w:pPr>
        <w:spacing w:line="309" w:lineRule="auto"/>
        <w:rPr>
          <w:rFonts w:ascii="仿宋" w:hAnsi="仿宋" w:eastAsia="仿宋" w:cs="仿宋"/>
          <w:sz w:val="31"/>
          <w:szCs w:val="31"/>
        </w:rPr>
        <w:sectPr>
          <w:footerReference r:id="rId26" w:type="default"/>
          <w:pgSz w:w="11904" w:h="16835"/>
          <w:pgMar w:top="1430" w:right="1661" w:bottom="1289" w:left="1785" w:header="0" w:footer="923" w:gutter="0"/>
          <w:cols w:space="720" w:num="1"/>
        </w:sectPr>
      </w:pPr>
    </w:p>
    <w:p w14:paraId="0E9A5A1B">
      <w:pPr>
        <w:spacing w:before="135" w:line="220" w:lineRule="auto"/>
        <w:ind w:left="40"/>
        <w:rPr>
          <w:rFonts w:ascii="仿宋" w:hAnsi="仿宋" w:eastAsia="仿宋" w:cs="仿宋"/>
          <w:sz w:val="31"/>
          <w:szCs w:val="31"/>
        </w:rPr>
      </w:pPr>
      <w:r>
        <w:rPr>
          <w:rFonts w:ascii="仿宋" w:hAnsi="仿宋" w:eastAsia="仿宋" w:cs="仿宋"/>
          <w:spacing w:val="7"/>
          <w:sz w:val="31"/>
          <w:szCs w:val="31"/>
        </w:rPr>
        <w:t>气勘查，确保国家规划矿区战略地位。</w:t>
      </w:r>
    </w:p>
    <w:p w14:paraId="0FAF26D8">
      <w:pPr>
        <w:pStyle w:val="2"/>
        <w:spacing w:before="239" w:line="341" w:lineRule="auto"/>
        <w:ind w:left="20" w:right="16" w:firstLine="639"/>
        <w:jc w:val="both"/>
        <w:rPr>
          <w:rFonts w:ascii="仿宋" w:hAnsi="仿宋" w:eastAsia="仿宋" w:cs="仿宋"/>
          <w:sz w:val="31"/>
          <w:szCs w:val="31"/>
        </w:rPr>
      </w:pPr>
      <w:r>
        <w:rPr>
          <w:rFonts w:ascii="微软雅黑" w:hAnsi="微软雅黑" w:eastAsia="微软雅黑" w:cs="微软雅黑"/>
          <w:spacing w:val="6"/>
          <w:sz w:val="31"/>
          <w:szCs w:val="31"/>
        </w:rPr>
        <w:t>建立健全矿产资源储备和保护制度</w:t>
      </w:r>
      <w:r>
        <w:rPr>
          <w:spacing w:val="6"/>
          <w:sz w:val="31"/>
          <w:szCs w:val="31"/>
        </w:rPr>
        <w:t>.</w:t>
      </w:r>
      <w:r>
        <w:rPr>
          <w:spacing w:val="42"/>
          <w:w w:val="101"/>
          <w:sz w:val="31"/>
          <w:szCs w:val="31"/>
        </w:rPr>
        <w:t xml:space="preserve">  </w:t>
      </w:r>
      <w:r>
        <w:rPr>
          <w:rFonts w:ascii="仿宋" w:hAnsi="仿宋" w:eastAsia="仿宋" w:cs="仿宋"/>
          <w:spacing w:val="6"/>
          <w:sz w:val="31"/>
          <w:szCs w:val="31"/>
        </w:rPr>
        <w:t>落实省级规划</w:t>
      </w:r>
      <w:r>
        <w:rPr>
          <w:rFonts w:ascii="微软雅黑" w:hAnsi="微软雅黑" w:eastAsia="微软雅黑" w:cs="微软雅黑"/>
          <w:spacing w:val="6"/>
          <w:sz w:val="31"/>
          <w:szCs w:val="31"/>
        </w:rPr>
        <w:t>四川</w:t>
      </w:r>
      <w:r>
        <w:rPr>
          <w:rFonts w:ascii="微软雅黑" w:hAnsi="微软雅黑" w:eastAsia="微软雅黑" w:cs="微软雅黑"/>
          <w:spacing w:val="-1"/>
          <w:sz w:val="32"/>
          <w:szCs w:val="32"/>
        </w:rPr>
        <w:t>什</w:t>
      </w:r>
      <w:r>
        <w:rPr>
          <w:position w:val="-4"/>
          <w:sz w:val="32"/>
          <w:szCs w:val="32"/>
        </w:rPr>
        <w:drawing>
          <wp:inline distT="0" distB="0" distL="0" distR="0">
            <wp:extent cx="198755" cy="1987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68"/>
                    <a:stretch>
                      <a:fillRect/>
                    </a:stretch>
                  </pic:blipFill>
                  <pic:spPr>
                    <a:xfrm>
                      <a:off x="0" y="0"/>
                      <a:ext cx="199088" cy="199050"/>
                    </a:xfrm>
                    <a:prstGeom prst="rect">
                      <a:avLst/>
                    </a:prstGeom>
                  </pic:spPr>
                </pic:pic>
              </a:graphicData>
            </a:graphic>
          </wp:inline>
        </w:drawing>
      </w:r>
      <w:r>
        <w:rPr>
          <w:rFonts w:ascii="微软雅黑" w:hAnsi="微软雅黑" w:eastAsia="微软雅黑" w:cs="微软雅黑"/>
          <w:strike/>
          <w:spacing w:val="9"/>
          <w:sz w:val="32"/>
          <w:szCs w:val="32"/>
        </w:rPr>
        <w:t xml:space="preserve">  </w:t>
      </w:r>
      <w:r>
        <w:rPr>
          <w:rFonts w:ascii="微软雅黑" w:hAnsi="微软雅黑" w:eastAsia="微软雅黑" w:cs="微软雅黑"/>
          <w:spacing w:val="-1"/>
          <w:sz w:val="32"/>
          <w:szCs w:val="32"/>
        </w:rPr>
        <w:t>绵竹-茂县板棚子磷矿省级战略性矿产资源保护区</w:t>
      </w:r>
      <w:r>
        <w:rPr>
          <w:rFonts w:ascii="仿宋" w:hAnsi="仿宋" w:eastAsia="仿宋" w:cs="仿宋"/>
          <w:spacing w:val="-1"/>
          <w:position w:val="-9"/>
          <w:sz w:val="31"/>
          <w:szCs w:val="31"/>
        </w:rPr>
        <w:t>，</w:t>
      </w:r>
      <w:r>
        <w:rPr>
          <w:rFonts w:ascii="仿宋" w:hAnsi="仿宋" w:eastAsia="仿宋" w:cs="仿宋"/>
          <w:spacing w:val="-1"/>
          <w:sz w:val="31"/>
          <w:szCs w:val="31"/>
        </w:rPr>
        <w:t>涉</w:t>
      </w:r>
      <w:r>
        <w:rPr>
          <w:rFonts w:ascii="仿宋" w:hAnsi="仿宋" w:eastAsia="仿宋" w:cs="仿宋"/>
          <w:spacing w:val="9"/>
          <w:sz w:val="31"/>
          <w:szCs w:val="31"/>
        </w:rPr>
        <w:t>及茂县东部与什邡、绵竹交汇的龙门山地带。落实矿产资源储备地保护政策，鼓励多渠道投入，加大对矿产资源储备地的保护、管理和经济补偿力度。完善矿产资源战略储备的管理机构和运行机制，配合省自然资源厅、德阳市、磷矿开发企业建立磷矿保护区联系沟通长效机制，严格禁止区内磷矿</w:t>
      </w:r>
      <w:bookmarkStart w:id="19" w:name="bookmark14"/>
      <w:bookmarkEnd w:id="19"/>
      <w:r>
        <w:rPr>
          <w:rFonts w:ascii="仿宋" w:hAnsi="仿宋" w:eastAsia="仿宋" w:cs="仿宋"/>
          <w:spacing w:val="8"/>
          <w:sz w:val="31"/>
          <w:szCs w:val="31"/>
        </w:rPr>
        <w:t>开采活动和限制保护区内压覆磷矿产。</w:t>
      </w:r>
    </w:p>
    <w:p w14:paraId="4C055597">
      <w:pPr>
        <w:spacing w:before="273" w:line="324" w:lineRule="exact"/>
        <w:ind w:left="1180"/>
        <w:outlineLvl w:val="0"/>
        <w:rPr>
          <w:rFonts w:ascii="微软雅黑" w:hAnsi="微软雅黑" w:eastAsia="微软雅黑" w:cs="微软雅黑"/>
          <w:sz w:val="31"/>
          <w:szCs w:val="31"/>
        </w:rPr>
      </w:pPr>
      <w:bookmarkStart w:id="20" w:name="bookmark35"/>
      <w:bookmarkEnd w:id="20"/>
      <w:r>
        <w:rPr>
          <w:rFonts w:ascii="微软雅黑" w:hAnsi="微软雅黑" w:eastAsia="微软雅黑" w:cs="微软雅黑"/>
          <w:spacing w:val="5"/>
          <w:position w:val="-1"/>
          <w:sz w:val="31"/>
          <w:szCs w:val="31"/>
        </w:rPr>
        <w:t>第三节</w:t>
      </w:r>
      <w:r>
        <w:rPr>
          <w:rFonts w:ascii="微软雅黑" w:hAnsi="微软雅黑" w:eastAsia="微软雅黑" w:cs="微软雅黑"/>
          <w:spacing w:val="88"/>
          <w:position w:val="-1"/>
          <w:sz w:val="31"/>
          <w:szCs w:val="31"/>
        </w:rPr>
        <w:t xml:space="preserve"> </w:t>
      </w:r>
      <w:r>
        <w:rPr>
          <w:rFonts w:ascii="微软雅黑" w:hAnsi="微软雅黑" w:eastAsia="微软雅黑" w:cs="微软雅黑"/>
          <w:spacing w:val="5"/>
          <w:position w:val="-1"/>
          <w:sz w:val="31"/>
          <w:szCs w:val="31"/>
        </w:rPr>
        <w:t>摸清锂矿资源家底</w:t>
      </w:r>
      <w:r>
        <w:rPr>
          <w:rFonts w:ascii="微软雅黑" w:hAnsi="微软雅黑" w:eastAsia="微软雅黑" w:cs="微软雅黑"/>
          <w:spacing w:val="63"/>
          <w:position w:val="-1"/>
          <w:sz w:val="31"/>
          <w:szCs w:val="31"/>
        </w:rPr>
        <w:t xml:space="preserve"> </w:t>
      </w:r>
      <w:r>
        <w:rPr>
          <w:rFonts w:ascii="微软雅黑" w:hAnsi="微软雅黑" w:eastAsia="微软雅黑" w:cs="微软雅黑"/>
          <w:spacing w:val="5"/>
          <w:position w:val="-1"/>
          <w:sz w:val="31"/>
          <w:szCs w:val="31"/>
        </w:rPr>
        <w:t>推动锂资源产业开发</w:t>
      </w:r>
    </w:p>
    <w:p w14:paraId="68BF9B61">
      <w:pPr>
        <w:pStyle w:val="2"/>
        <w:spacing w:line="438" w:lineRule="auto"/>
      </w:pPr>
    </w:p>
    <w:p w14:paraId="65B06306">
      <w:pPr>
        <w:spacing w:before="133" w:line="344" w:lineRule="auto"/>
        <w:ind w:left="34" w:right="16" w:firstLine="617"/>
        <w:jc w:val="both"/>
        <w:rPr>
          <w:rFonts w:ascii="仿宋" w:hAnsi="仿宋" w:eastAsia="仿宋" w:cs="仿宋"/>
          <w:sz w:val="31"/>
          <w:szCs w:val="31"/>
        </w:rPr>
      </w:pPr>
      <w:r>
        <w:rPr>
          <w:rFonts w:ascii="微软雅黑" w:hAnsi="微软雅黑" w:eastAsia="微软雅黑" w:cs="微软雅黑"/>
          <w:spacing w:val="4"/>
          <w:sz w:val="31"/>
          <w:szCs w:val="31"/>
        </w:rPr>
        <w:t>摸清西部密集区锂矿资源量。</w:t>
      </w:r>
      <w:r>
        <w:rPr>
          <w:rFonts w:ascii="仿宋" w:hAnsi="仿宋" w:eastAsia="仿宋" w:cs="仿宋"/>
          <w:spacing w:val="4"/>
          <w:sz w:val="31"/>
          <w:szCs w:val="31"/>
        </w:rPr>
        <w:t>锂矿查明资源储量矿区</w:t>
      </w:r>
      <w:r>
        <w:rPr>
          <w:rFonts w:ascii="仿宋" w:hAnsi="仿宋" w:eastAsia="仿宋" w:cs="仿宋"/>
          <w:spacing w:val="-33"/>
          <w:sz w:val="31"/>
          <w:szCs w:val="31"/>
        </w:rPr>
        <w:t xml:space="preserve"> </w:t>
      </w:r>
      <w:r>
        <w:rPr>
          <w:rFonts w:ascii="仿宋" w:hAnsi="仿宋" w:eastAsia="仿宋" w:cs="仿宋"/>
          <w:spacing w:val="4"/>
          <w:sz w:val="31"/>
          <w:szCs w:val="31"/>
        </w:rPr>
        <w:t>10</w:t>
      </w:r>
      <w:r>
        <w:rPr>
          <w:rFonts w:ascii="仿宋" w:hAnsi="仿宋" w:eastAsia="仿宋" w:cs="仿宋"/>
          <w:spacing w:val="8"/>
          <w:sz w:val="31"/>
          <w:szCs w:val="31"/>
        </w:rPr>
        <w:t>处，针对目前勘查程度低的西部密集区，适当争取上级财政资金，统筹该地区勘查，查明西部密集区内锂矿资源储量，</w:t>
      </w:r>
      <w:r>
        <w:rPr>
          <w:rFonts w:ascii="仿宋" w:hAnsi="仿宋" w:eastAsia="仿宋" w:cs="仿宋"/>
          <w:spacing w:val="7"/>
          <w:sz w:val="31"/>
          <w:szCs w:val="31"/>
        </w:rPr>
        <w:t>更新原有勘查程度低的资源储量。</w:t>
      </w:r>
    </w:p>
    <w:p w14:paraId="54E57C64">
      <w:pPr>
        <w:spacing w:before="1" w:line="353" w:lineRule="auto"/>
        <w:ind w:left="27" w:right="16" w:firstLine="640"/>
        <w:jc w:val="both"/>
        <w:rPr>
          <w:rFonts w:ascii="仿宋" w:hAnsi="仿宋" w:eastAsia="仿宋" w:cs="仿宋"/>
          <w:sz w:val="31"/>
          <w:szCs w:val="31"/>
        </w:rPr>
      </w:pPr>
      <w:r>
        <w:rPr>
          <w:rFonts w:ascii="微软雅黑" w:hAnsi="微软雅黑" w:eastAsia="微软雅黑" w:cs="微软雅黑"/>
          <w:spacing w:val="7"/>
          <w:sz w:val="31"/>
          <w:szCs w:val="31"/>
        </w:rPr>
        <w:t>夯实重复上表矿区资源储量。</w:t>
      </w:r>
      <w:r>
        <w:rPr>
          <w:rFonts w:ascii="微软雅黑" w:hAnsi="微软雅黑" w:eastAsia="微软雅黑" w:cs="微软雅黑"/>
          <w:spacing w:val="-53"/>
          <w:sz w:val="31"/>
          <w:szCs w:val="31"/>
        </w:rPr>
        <w:t xml:space="preserve"> </w:t>
      </w:r>
      <w:r>
        <w:rPr>
          <w:rFonts w:ascii="仿宋" w:hAnsi="仿宋" w:eastAsia="仿宋" w:cs="仿宋"/>
          <w:spacing w:val="7"/>
          <w:sz w:val="31"/>
          <w:szCs w:val="31"/>
        </w:rPr>
        <w:t>大力协调省级层面统筹可</w:t>
      </w:r>
      <w:r>
        <w:rPr>
          <w:rFonts w:ascii="仿宋" w:hAnsi="仿宋" w:eastAsia="仿宋" w:cs="仿宋"/>
          <w:spacing w:val="12"/>
          <w:sz w:val="31"/>
          <w:szCs w:val="31"/>
        </w:rPr>
        <w:t>尔因和甲基卡两个重点地区，对</w:t>
      </w:r>
      <w:r>
        <w:rPr>
          <w:rFonts w:ascii="仿宋" w:hAnsi="仿宋" w:eastAsia="仿宋" w:cs="仿宋"/>
          <w:spacing w:val="-40"/>
          <w:sz w:val="31"/>
          <w:szCs w:val="31"/>
        </w:rPr>
        <w:t xml:space="preserve"> </w:t>
      </w:r>
      <w:r>
        <w:rPr>
          <w:rFonts w:ascii="仿宋" w:hAnsi="仿宋" w:eastAsia="仿宋" w:cs="仿宋"/>
          <w:spacing w:val="12"/>
          <w:sz w:val="31"/>
          <w:szCs w:val="31"/>
        </w:rPr>
        <w:t>2018</w:t>
      </w:r>
      <w:r>
        <w:rPr>
          <w:rFonts w:ascii="仿宋" w:hAnsi="仿宋" w:eastAsia="仿宋" w:cs="仿宋"/>
          <w:spacing w:val="-57"/>
          <w:sz w:val="31"/>
          <w:szCs w:val="31"/>
        </w:rPr>
        <w:t xml:space="preserve"> </w:t>
      </w:r>
      <w:r>
        <w:rPr>
          <w:rFonts w:ascii="仿宋" w:hAnsi="仿宋" w:eastAsia="仿宋" w:cs="仿宋"/>
          <w:spacing w:val="12"/>
          <w:sz w:val="31"/>
          <w:szCs w:val="31"/>
        </w:rPr>
        <w:t>年储量确权和矿产资</w:t>
      </w:r>
      <w:r>
        <w:rPr>
          <w:rFonts w:ascii="仿宋" w:hAnsi="仿宋" w:eastAsia="仿宋" w:cs="仿宋"/>
          <w:spacing w:val="9"/>
          <w:sz w:val="31"/>
          <w:szCs w:val="31"/>
        </w:rPr>
        <w:t>源国情调查遗留下的锂矿资源重复上表问题</w:t>
      </w:r>
      <w:r>
        <w:rPr>
          <w:rFonts w:ascii="仿宋" w:hAnsi="仿宋" w:eastAsia="仿宋" w:cs="仿宋"/>
          <w:spacing w:val="8"/>
          <w:sz w:val="31"/>
          <w:szCs w:val="31"/>
        </w:rPr>
        <w:t>进行专项工作，</w:t>
      </w:r>
      <w:r>
        <w:rPr>
          <w:rFonts w:ascii="仿宋" w:hAnsi="仿宋" w:eastAsia="仿宋" w:cs="仿宋"/>
          <w:spacing w:val="9"/>
          <w:sz w:val="31"/>
          <w:szCs w:val="31"/>
        </w:rPr>
        <w:t>投入相关资金按年度进行补充勘查工作，对</w:t>
      </w:r>
      <w:r>
        <w:rPr>
          <w:rFonts w:ascii="仿宋" w:hAnsi="仿宋" w:eastAsia="仿宋" w:cs="仿宋"/>
          <w:spacing w:val="8"/>
          <w:sz w:val="31"/>
          <w:szCs w:val="31"/>
        </w:rPr>
        <w:t>资源储量进行准</w:t>
      </w:r>
      <w:r>
        <w:rPr>
          <w:rFonts w:ascii="仿宋" w:hAnsi="仿宋" w:eastAsia="仿宋" w:cs="仿宋"/>
          <w:spacing w:val="9"/>
          <w:sz w:val="31"/>
          <w:szCs w:val="31"/>
        </w:rPr>
        <w:t>确分割并更新上表信息，剔除重复上表部分</w:t>
      </w:r>
      <w:r>
        <w:rPr>
          <w:rFonts w:ascii="仿宋" w:hAnsi="仿宋" w:eastAsia="仿宋" w:cs="仿宋"/>
          <w:spacing w:val="8"/>
          <w:sz w:val="31"/>
          <w:szCs w:val="31"/>
        </w:rPr>
        <w:t>，实现锂矿资源</w:t>
      </w:r>
      <w:r>
        <w:rPr>
          <w:rFonts w:ascii="仿宋" w:hAnsi="仿宋" w:eastAsia="仿宋" w:cs="仿宋"/>
          <w:spacing w:val="7"/>
          <w:sz w:val="31"/>
          <w:szCs w:val="31"/>
        </w:rPr>
        <w:t>家底数据真实准确。</w:t>
      </w:r>
    </w:p>
    <w:p w14:paraId="699262AF">
      <w:pPr>
        <w:spacing w:before="1" w:line="159" w:lineRule="auto"/>
        <w:jc w:val="right"/>
        <w:rPr>
          <w:rFonts w:ascii="仿宋" w:hAnsi="仿宋" w:eastAsia="仿宋" w:cs="仿宋"/>
          <w:sz w:val="31"/>
          <w:szCs w:val="31"/>
        </w:rPr>
      </w:pPr>
      <w:r>
        <w:rPr>
          <w:rFonts w:ascii="微软雅黑" w:hAnsi="微软雅黑" w:eastAsia="微软雅黑" w:cs="微软雅黑"/>
          <w:spacing w:val="3"/>
          <w:sz w:val="31"/>
          <w:szCs w:val="31"/>
        </w:rPr>
        <w:t>依法依规高效推动锂矿勘查开采。</w:t>
      </w:r>
      <w:r>
        <w:rPr>
          <w:rFonts w:ascii="仿宋" w:hAnsi="仿宋" w:eastAsia="仿宋" w:cs="仿宋"/>
          <w:spacing w:val="3"/>
          <w:sz w:val="31"/>
          <w:szCs w:val="31"/>
        </w:rPr>
        <w:t>锂矿待查明矿区5</w:t>
      </w:r>
      <w:r>
        <w:rPr>
          <w:rFonts w:ascii="仿宋" w:hAnsi="仿宋" w:eastAsia="仿宋" w:cs="仿宋"/>
          <w:spacing w:val="-83"/>
          <w:sz w:val="31"/>
          <w:szCs w:val="31"/>
        </w:rPr>
        <w:t xml:space="preserve"> </w:t>
      </w:r>
      <w:r>
        <w:rPr>
          <w:rFonts w:ascii="仿宋" w:hAnsi="仿宋" w:eastAsia="仿宋" w:cs="仿宋"/>
          <w:spacing w:val="2"/>
          <w:sz w:val="31"/>
          <w:szCs w:val="31"/>
        </w:rPr>
        <w:t>个</w:t>
      </w:r>
      <w:r>
        <w:rPr>
          <w:rFonts w:ascii="仿宋" w:hAnsi="仿宋" w:eastAsia="仿宋" w:cs="仿宋"/>
          <w:spacing w:val="2"/>
          <w:position w:val="-9"/>
          <w:sz w:val="31"/>
          <w:szCs w:val="31"/>
        </w:rPr>
        <w:t>，</w:t>
      </w:r>
    </w:p>
    <w:p w14:paraId="30876D3F">
      <w:pPr>
        <w:spacing w:line="159" w:lineRule="auto"/>
        <w:rPr>
          <w:rFonts w:ascii="仿宋" w:hAnsi="仿宋" w:eastAsia="仿宋" w:cs="仿宋"/>
          <w:sz w:val="31"/>
          <w:szCs w:val="31"/>
        </w:rPr>
        <w:sectPr>
          <w:footerReference r:id="rId27" w:type="default"/>
          <w:pgSz w:w="11904" w:h="16835"/>
          <w:pgMar w:top="1430" w:right="1785" w:bottom="1289" w:left="1785" w:header="0" w:footer="920" w:gutter="0"/>
          <w:cols w:space="720" w:num="1"/>
        </w:sectPr>
      </w:pPr>
    </w:p>
    <w:p w14:paraId="33CD1AA0">
      <w:pPr>
        <w:spacing w:before="128" w:line="372" w:lineRule="auto"/>
        <w:ind w:left="26" w:right="16" w:firstLine="9"/>
        <w:jc w:val="both"/>
        <w:rPr>
          <w:rFonts w:ascii="仿宋" w:hAnsi="仿宋" w:eastAsia="仿宋" w:cs="仿宋"/>
          <w:sz w:val="31"/>
          <w:szCs w:val="31"/>
        </w:rPr>
      </w:pPr>
      <w:r>
        <w:rPr>
          <w:rFonts w:ascii="仿宋" w:hAnsi="仿宋" w:eastAsia="仿宋" w:cs="仿宋"/>
          <w:spacing w:val="4"/>
          <w:sz w:val="31"/>
          <w:szCs w:val="31"/>
        </w:rPr>
        <w:t>拟转采矿区</w:t>
      </w:r>
      <w:r>
        <w:rPr>
          <w:rFonts w:ascii="仿宋" w:hAnsi="仿宋" w:eastAsia="仿宋" w:cs="仿宋"/>
          <w:spacing w:val="-30"/>
          <w:sz w:val="31"/>
          <w:szCs w:val="31"/>
        </w:rPr>
        <w:t xml:space="preserve"> </w:t>
      </w:r>
      <w:r>
        <w:rPr>
          <w:rFonts w:ascii="仿宋" w:hAnsi="仿宋" w:eastAsia="仿宋" w:cs="仿宋"/>
          <w:spacing w:val="4"/>
          <w:sz w:val="31"/>
          <w:szCs w:val="31"/>
        </w:rPr>
        <w:t>3</w:t>
      </w:r>
      <w:r>
        <w:rPr>
          <w:rFonts w:ascii="仿宋" w:hAnsi="仿宋" w:eastAsia="仿宋" w:cs="仿宋"/>
          <w:spacing w:val="-58"/>
          <w:sz w:val="31"/>
          <w:szCs w:val="31"/>
        </w:rPr>
        <w:t xml:space="preserve"> </w:t>
      </w:r>
      <w:r>
        <w:rPr>
          <w:rFonts w:ascii="仿宋" w:hAnsi="仿宋" w:eastAsia="仿宋" w:cs="仿宋"/>
          <w:spacing w:val="4"/>
          <w:sz w:val="31"/>
          <w:szCs w:val="31"/>
        </w:rPr>
        <w:t>个，拟提升开采规模矿山</w:t>
      </w:r>
      <w:r>
        <w:rPr>
          <w:rFonts w:ascii="仿宋" w:hAnsi="仿宋" w:eastAsia="仿宋" w:cs="仿宋"/>
          <w:spacing w:val="-41"/>
          <w:sz w:val="31"/>
          <w:szCs w:val="31"/>
        </w:rPr>
        <w:t xml:space="preserve"> </w:t>
      </w:r>
      <w:r>
        <w:rPr>
          <w:rFonts w:ascii="仿宋" w:hAnsi="仿宋" w:eastAsia="仿宋" w:cs="仿宋"/>
          <w:spacing w:val="4"/>
          <w:sz w:val="31"/>
          <w:szCs w:val="31"/>
        </w:rPr>
        <w:t>1</w:t>
      </w:r>
      <w:r>
        <w:rPr>
          <w:rFonts w:ascii="仿宋" w:hAnsi="仿宋" w:eastAsia="仿宋" w:cs="仿宋"/>
          <w:spacing w:val="-67"/>
          <w:sz w:val="31"/>
          <w:szCs w:val="31"/>
        </w:rPr>
        <w:t xml:space="preserve"> </w:t>
      </w:r>
      <w:r>
        <w:rPr>
          <w:rFonts w:ascii="仿宋" w:hAnsi="仿宋" w:eastAsia="仿宋" w:cs="仿宋"/>
          <w:spacing w:val="4"/>
          <w:sz w:val="31"/>
          <w:szCs w:val="31"/>
        </w:rPr>
        <w:t>座；勘查开发存在</w:t>
      </w:r>
      <w:r>
        <w:rPr>
          <w:rFonts w:ascii="仿宋" w:hAnsi="仿宋" w:eastAsia="仿宋" w:cs="仿宋"/>
          <w:spacing w:val="18"/>
          <w:sz w:val="31"/>
          <w:szCs w:val="31"/>
        </w:rPr>
        <w:t>进度滞后的问题，主要受自然条件束缚，矿区海拔均大于</w:t>
      </w:r>
      <w:r>
        <w:rPr>
          <w:rFonts w:ascii="仿宋" w:hAnsi="仿宋" w:eastAsia="仿宋" w:cs="仿宋"/>
          <w:spacing w:val="5"/>
          <w:sz w:val="31"/>
          <w:szCs w:val="31"/>
        </w:rPr>
        <w:t>3000</w:t>
      </w:r>
      <w:r>
        <w:rPr>
          <w:rFonts w:ascii="仿宋" w:hAnsi="仿宋" w:eastAsia="仿宋" w:cs="仿宋"/>
          <w:spacing w:val="-62"/>
          <w:sz w:val="31"/>
          <w:szCs w:val="31"/>
        </w:rPr>
        <w:t xml:space="preserve"> </w:t>
      </w:r>
      <w:r>
        <w:rPr>
          <w:rFonts w:ascii="仿宋" w:hAnsi="仿宋" w:eastAsia="仿宋" w:cs="仿宋"/>
          <w:spacing w:val="5"/>
          <w:sz w:val="31"/>
          <w:szCs w:val="31"/>
        </w:rPr>
        <w:t>米，属于大渡河深切割地区，也是生态环境</w:t>
      </w:r>
      <w:r>
        <w:rPr>
          <w:rFonts w:ascii="仿宋" w:hAnsi="仿宋" w:eastAsia="仿宋" w:cs="仿宋"/>
          <w:spacing w:val="4"/>
          <w:sz w:val="31"/>
          <w:szCs w:val="31"/>
        </w:rPr>
        <w:t>重点保护地</w:t>
      </w:r>
      <w:r>
        <w:rPr>
          <w:rFonts w:ascii="仿宋" w:hAnsi="仿宋" w:eastAsia="仿宋" w:cs="仿宋"/>
          <w:spacing w:val="6"/>
          <w:sz w:val="31"/>
          <w:szCs w:val="31"/>
        </w:rPr>
        <w:t>区。</w:t>
      </w:r>
      <w:r>
        <w:rPr>
          <w:rFonts w:ascii="仿宋" w:hAnsi="仿宋" w:eastAsia="仿宋" w:cs="仿宋"/>
          <w:spacing w:val="-78"/>
          <w:sz w:val="31"/>
          <w:szCs w:val="31"/>
        </w:rPr>
        <w:t xml:space="preserve"> </w:t>
      </w:r>
      <w:r>
        <w:rPr>
          <w:rFonts w:ascii="仿宋" w:hAnsi="仿宋" w:eastAsia="仿宋" w:cs="仿宋"/>
          <w:spacing w:val="6"/>
          <w:sz w:val="31"/>
          <w:szCs w:val="31"/>
        </w:rPr>
        <w:t>以阿坝州锂资源综合开发利用领导小组作为</w:t>
      </w:r>
      <w:r>
        <w:rPr>
          <w:rFonts w:ascii="仿宋" w:hAnsi="仿宋" w:eastAsia="仿宋" w:cs="仿宋"/>
          <w:spacing w:val="5"/>
          <w:sz w:val="31"/>
          <w:szCs w:val="31"/>
        </w:rPr>
        <w:t>保障机制，</w:t>
      </w:r>
      <w:r>
        <w:rPr>
          <w:rFonts w:ascii="仿宋" w:hAnsi="仿宋" w:eastAsia="仿宋" w:cs="仿宋"/>
          <w:spacing w:val="9"/>
          <w:sz w:val="31"/>
          <w:szCs w:val="31"/>
        </w:rPr>
        <w:t>落实部门责任，加快推动锂矿勘查开发工作，</w:t>
      </w:r>
      <w:r>
        <w:rPr>
          <w:rFonts w:ascii="仿宋" w:hAnsi="仿宋" w:eastAsia="仿宋" w:cs="仿宋"/>
          <w:spacing w:val="8"/>
          <w:sz w:val="31"/>
          <w:szCs w:val="31"/>
        </w:rPr>
        <w:t>延伸锂资源产</w:t>
      </w:r>
      <w:r>
        <w:rPr>
          <w:rFonts w:ascii="仿宋" w:hAnsi="仿宋" w:eastAsia="仿宋" w:cs="仿宋"/>
          <w:spacing w:val="9"/>
          <w:sz w:val="31"/>
          <w:szCs w:val="31"/>
        </w:rPr>
        <w:t>业。督促矿业权人按照勘查实施方案完成年度</w:t>
      </w:r>
      <w:r>
        <w:rPr>
          <w:rFonts w:ascii="仿宋" w:hAnsi="仿宋" w:eastAsia="仿宋" w:cs="仿宋"/>
          <w:spacing w:val="8"/>
          <w:sz w:val="31"/>
          <w:szCs w:val="31"/>
        </w:rPr>
        <w:t>勘查工作并提</w:t>
      </w:r>
      <w:r>
        <w:rPr>
          <w:rFonts w:ascii="仿宋" w:hAnsi="仿宋" w:eastAsia="仿宋" w:cs="仿宋"/>
          <w:spacing w:val="6"/>
          <w:sz w:val="31"/>
          <w:szCs w:val="31"/>
        </w:rPr>
        <w:t>交工作成果，按照生产规模实施年度开采计划，</w:t>
      </w:r>
      <w:r>
        <w:rPr>
          <w:rFonts w:ascii="仿宋" w:hAnsi="仿宋" w:eastAsia="仿宋" w:cs="仿宋"/>
          <w:spacing w:val="-83"/>
          <w:sz w:val="31"/>
          <w:szCs w:val="31"/>
        </w:rPr>
        <w:t xml:space="preserve"> </w:t>
      </w:r>
      <w:r>
        <w:rPr>
          <w:rFonts w:ascii="仿宋" w:hAnsi="仿宋" w:eastAsia="仿宋" w:cs="仿宋"/>
          <w:spacing w:val="6"/>
          <w:sz w:val="31"/>
          <w:szCs w:val="31"/>
        </w:rPr>
        <w:t>以实现矿山</w:t>
      </w:r>
      <w:r>
        <w:rPr>
          <w:rFonts w:ascii="仿宋" w:hAnsi="仿宋" w:eastAsia="仿宋" w:cs="仿宋"/>
          <w:spacing w:val="9"/>
          <w:sz w:val="31"/>
          <w:szCs w:val="31"/>
        </w:rPr>
        <w:t>开发稳定达产。为企业积极创造良好环境，引</w:t>
      </w:r>
      <w:r>
        <w:rPr>
          <w:rFonts w:ascii="仿宋" w:hAnsi="仿宋" w:eastAsia="仿宋" w:cs="仿宋"/>
          <w:spacing w:val="8"/>
          <w:sz w:val="31"/>
          <w:szCs w:val="31"/>
        </w:rPr>
        <w:t>入产业链下游</w:t>
      </w:r>
      <w:r>
        <w:rPr>
          <w:rFonts w:ascii="仿宋" w:hAnsi="仿宋" w:eastAsia="仿宋" w:cs="仿宋"/>
          <w:spacing w:val="9"/>
          <w:sz w:val="31"/>
          <w:szCs w:val="31"/>
        </w:rPr>
        <w:t>企业，充分释放全产业链产能，将锂资源优势</w:t>
      </w:r>
      <w:r>
        <w:rPr>
          <w:rFonts w:ascii="仿宋" w:hAnsi="仿宋" w:eastAsia="仿宋" w:cs="仿宋"/>
          <w:spacing w:val="8"/>
          <w:sz w:val="31"/>
          <w:szCs w:val="31"/>
        </w:rPr>
        <w:t>转化为疫情常</w:t>
      </w:r>
      <w:bookmarkStart w:id="21" w:name="bookmark15"/>
      <w:bookmarkEnd w:id="21"/>
      <w:r>
        <w:rPr>
          <w:rFonts w:ascii="仿宋" w:hAnsi="仿宋" w:eastAsia="仿宋" w:cs="仿宋"/>
          <w:spacing w:val="8"/>
          <w:sz w:val="31"/>
          <w:szCs w:val="31"/>
        </w:rPr>
        <w:t>态化管控下州域经济发展新动力。</w:t>
      </w:r>
    </w:p>
    <w:p w14:paraId="2250C2CC">
      <w:pPr>
        <w:spacing w:before="274" w:line="321" w:lineRule="exact"/>
        <w:ind w:left="388"/>
        <w:outlineLvl w:val="0"/>
        <w:rPr>
          <w:rFonts w:ascii="微软雅黑" w:hAnsi="微软雅黑" w:eastAsia="微软雅黑" w:cs="微软雅黑"/>
          <w:sz w:val="31"/>
          <w:szCs w:val="31"/>
        </w:rPr>
      </w:pPr>
      <w:bookmarkStart w:id="22" w:name="bookmark36"/>
      <w:bookmarkEnd w:id="22"/>
      <w:r>
        <w:rPr>
          <w:rFonts w:ascii="微软雅黑" w:hAnsi="微软雅黑" w:eastAsia="微软雅黑" w:cs="微软雅黑"/>
          <w:spacing w:val="5"/>
          <w:position w:val="-1"/>
          <w:sz w:val="31"/>
          <w:szCs w:val="31"/>
        </w:rPr>
        <w:t>第四节</w:t>
      </w:r>
      <w:r>
        <w:rPr>
          <w:rFonts w:ascii="微软雅黑" w:hAnsi="微软雅黑" w:eastAsia="微软雅黑" w:cs="微软雅黑"/>
          <w:spacing w:val="80"/>
          <w:position w:val="-1"/>
          <w:sz w:val="31"/>
          <w:szCs w:val="31"/>
        </w:rPr>
        <w:t xml:space="preserve"> </w:t>
      </w:r>
      <w:r>
        <w:rPr>
          <w:rFonts w:ascii="微软雅黑" w:hAnsi="微软雅黑" w:eastAsia="微软雅黑" w:cs="微软雅黑"/>
          <w:spacing w:val="5"/>
          <w:position w:val="-1"/>
          <w:sz w:val="31"/>
          <w:szCs w:val="31"/>
        </w:rPr>
        <w:t>稳定金矿资源勘查开采</w:t>
      </w:r>
      <w:r>
        <w:rPr>
          <w:rFonts w:ascii="微软雅黑" w:hAnsi="微软雅黑" w:eastAsia="微软雅黑" w:cs="微软雅黑"/>
          <w:spacing w:val="52"/>
          <w:position w:val="-1"/>
          <w:sz w:val="31"/>
          <w:szCs w:val="31"/>
        </w:rPr>
        <w:t xml:space="preserve"> </w:t>
      </w:r>
      <w:r>
        <w:rPr>
          <w:rFonts w:ascii="微软雅黑" w:hAnsi="微软雅黑" w:eastAsia="微软雅黑" w:cs="微软雅黑"/>
          <w:spacing w:val="5"/>
          <w:position w:val="-1"/>
          <w:sz w:val="31"/>
          <w:szCs w:val="31"/>
        </w:rPr>
        <w:t>加强锰矿资源储备保护</w:t>
      </w:r>
    </w:p>
    <w:p w14:paraId="271BDEB1">
      <w:pPr>
        <w:pStyle w:val="2"/>
        <w:spacing w:line="435" w:lineRule="auto"/>
      </w:pPr>
    </w:p>
    <w:p w14:paraId="2C724EBC">
      <w:pPr>
        <w:pStyle w:val="2"/>
        <w:spacing w:before="133" w:line="359" w:lineRule="auto"/>
        <w:ind w:left="20" w:right="16" w:firstLine="648"/>
        <w:jc w:val="both"/>
        <w:rPr>
          <w:rFonts w:ascii="仿宋" w:hAnsi="仿宋" w:eastAsia="仿宋" w:cs="仿宋"/>
          <w:sz w:val="31"/>
          <w:szCs w:val="31"/>
        </w:rPr>
      </w:pPr>
      <w:r>
        <w:rPr>
          <w:rFonts w:ascii="微软雅黑" w:hAnsi="微软雅黑" w:eastAsia="微软雅黑" w:cs="微软雅黑"/>
          <w:spacing w:val="3"/>
          <w:sz w:val="31"/>
          <w:szCs w:val="31"/>
        </w:rPr>
        <w:t>稳定金矿生产规模</w:t>
      </w:r>
      <w:r>
        <w:rPr>
          <w:rFonts w:ascii="微软雅黑" w:hAnsi="微软雅黑" w:eastAsia="微软雅黑" w:cs="微软雅黑"/>
          <w:spacing w:val="-29"/>
          <w:sz w:val="31"/>
          <w:szCs w:val="31"/>
        </w:rPr>
        <w:t xml:space="preserve"> </w:t>
      </w:r>
      <w:r>
        <w:rPr>
          <w:spacing w:val="3"/>
          <w:sz w:val="31"/>
          <w:szCs w:val="31"/>
        </w:rPr>
        <w:t>,</w:t>
      </w:r>
      <w:r>
        <w:rPr>
          <w:spacing w:val="36"/>
          <w:sz w:val="31"/>
          <w:szCs w:val="31"/>
        </w:rPr>
        <w:t xml:space="preserve">  </w:t>
      </w:r>
      <w:r>
        <w:rPr>
          <w:rFonts w:ascii="微软雅黑" w:hAnsi="微软雅黑" w:eastAsia="微软雅黑" w:cs="微软雅黑"/>
          <w:spacing w:val="3"/>
          <w:sz w:val="31"/>
          <w:szCs w:val="31"/>
        </w:rPr>
        <w:t>实现金矿资源储量提升</w:t>
      </w:r>
      <w:r>
        <w:rPr>
          <w:rFonts w:ascii="微软雅黑" w:hAnsi="微软雅黑" w:eastAsia="微软雅黑" w:cs="微软雅黑"/>
          <w:spacing w:val="-52"/>
          <w:sz w:val="31"/>
          <w:szCs w:val="31"/>
        </w:rPr>
        <w:t xml:space="preserve"> </w:t>
      </w:r>
      <w:r>
        <w:rPr>
          <w:spacing w:val="3"/>
          <w:sz w:val="31"/>
          <w:szCs w:val="31"/>
        </w:rPr>
        <w:t>.</w:t>
      </w:r>
      <w:r>
        <w:rPr>
          <w:spacing w:val="31"/>
          <w:sz w:val="31"/>
          <w:szCs w:val="31"/>
        </w:rPr>
        <w:t xml:space="preserve">  </w:t>
      </w:r>
      <w:r>
        <w:rPr>
          <w:rFonts w:ascii="仿宋" w:hAnsi="仿宋" w:eastAsia="仿宋" w:cs="仿宋"/>
          <w:spacing w:val="3"/>
          <w:sz w:val="31"/>
          <w:szCs w:val="31"/>
        </w:rPr>
        <w:t>金矿资源</w:t>
      </w:r>
      <w:r>
        <w:rPr>
          <w:rFonts w:ascii="仿宋" w:hAnsi="仿宋" w:eastAsia="仿宋" w:cs="仿宋"/>
          <w:spacing w:val="5"/>
          <w:sz w:val="31"/>
          <w:szCs w:val="31"/>
        </w:rPr>
        <w:t>储量可观，查明资源储量矿区</w:t>
      </w:r>
      <w:r>
        <w:rPr>
          <w:rFonts w:ascii="仿宋" w:hAnsi="仿宋" w:eastAsia="仿宋" w:cs="仿宋"/>
          <w:spacing w:val="-49"/>
          <w:sz w:val="31"/>
          <w:szCs w:val="31"/>
        </w:rPr>
        <w:t xml:space="preserve"> </w:t>
      </w:r>
      <w:r>
        <w:rPr>
          <w:rFonts w:ascii="仿宋" w:hAnsi="仿宋" w:eastAsia="仿宋" w:cs="仿宋"/>
          <w:spacing w:val="5"/>
          <w:sz w:val="31"/>
          <w:szCs w:val="31"/>
        </w:rPr>
        <w:t>20</w:t>
      </w:r>
      <w:r>
        <w:rPr>
          <w:rFonts w:ascii="仿宋" w:hAnsi="仿宋" w:eastAsia="仿宋" w:cs="仿宋"/>
          <w:spacing w:val="-58"/>
          <w:sz w:val="31"/>
          <w:szCs w:val="31"/>
        </w:rPr>
        <w:t xml:space="preserve"> </w:t>
      </w:r>
      <w:r>
        <w:rPr>
          <w:rFonts w:ascii="仿宋" w:hAnsi="仿宋" w:eastAsia="仿宋" w:cs="仿宋"/>
          <w:spacing w:val="5"/>
          <w:sz w:val="31"/>
          <w:szCs w:val="31"/>
        </w:rPr>
        <w:t>个，待查明矿区</w:t>
      </w:r>
      <w:r>
        <w:rPr>
          <w:rFonts w:ascii="仿宋" w:hAnsi="仿宋" w:eastAsia="仿宋" w:cs="仿宋"/>
          <w:spacing w:val="-41"/>
          <w:sz w:val="31"/>
          <w:szCs w:val="31"/>
        </w:rPr>
        <w:t xml:space="preserve"> </w:t>
      </w:r>
      <w:r>
        <w:rPr>
          <w:rFonts w:ascii="仿宋" w:hAnsi="仿宋" w:eastAsia="仿宋" w:cs="仿宋"/>
          <w:spacing w:val="5"/>
          <w:sz w:val="31"/>
          <w:szCs w:val="31"/>
        </w:rPr>
        <w:t>1</w:t>
      </w:r>
      <w:r>
        <w:rPr>
          <w:rFonts w:ascii="仿宋" w:hAnsi="仿宋" w:eastAsia="仿宋" w:cs="仿宋"/>
          <w:spacing w:val="4"/>
          <w:sz w:val="31"/>
          <w:szCs w:val="31"/>
        </w:rPr>
        <w:t>1</w:t>
      </w:r>
      <w:r>
        <w:rPr>
          <w:rFonts w:ascii="仿宋" w:hAnsi="仿宋" w:eastAsia="仿宋" w:cs="仿宋"/>
          <w:spacing w:val="-59"/>
          <w:sz w:val="31"/>
          <w:szCs w:val="31"/>
        </w:rPr>
        <w:t xml:space="preserve"> </w:t>
      </w:r>
      <w:r>
        <w:rPr>
          <w:rFonts w:ascii="仿宋" w:hAnsi="仿宋" w:eastAsia="仿宋" w:cs="仿宋"/>
          <w:spacing w:val="4"/>
          <w:sz w:val="31"/>
          <w:szCs w:val="31"/>
        </w:rPr>
        <w:t>个，有</w:t>
      </w:r>
      <w:r>
        <w:rPr>
          <w:rFonts w:ascii="仿宋" w:hAnsi="仿宋" w:eastAsia="仿宋" w:cs="仿宋"/>
          <w:sz w:val="31"/>
          <w:szCs w:val="31"/>
        </w:rPr>
        <w:t>效探矿权</w:t>
      </w:r>
      <w:r>
        <w:rPr>
          <w:rFonts w:ascii="仿宋" w:hAnsi="仿宋" w:eastAsia="仿宋" w:cs="仿宋"/>
          <w:spacing w:val="-44"/>
          <w:sz w:val="31"/>
          <w:szCs w:val="31"/>
        </w:rPr>
        <w:t xml:space="preserve"> </w:t>
      </w:r>
      <w:r>
        <w:rPr>
          <w:rFonts w:ascii="仿宋" w:hAnsi="仿宋" w:eastAsia="仿宋" w:cs="仿宋"/>
          <w:sz w:val="31"/>
          <w:szCs w:val="31"/>
        </w:rPr>
        <w:t>17</w:t>
      </w:r>
      <w:r>
        <w:rPr>
          <w:rFonts w:ascii="仿宋" w:hAnsi="仿宋" w:eastAsia="仿宋" w:cs="仿宋"/>
          <w:spacing w:val="-48"/>
          <w:sz w:val="31"/>
          <w:szCs w:val="31"/>
        </w:rPr>
        <w:t xml:space="preserve"> </w:t>
      </w:r>
      <w:r>
        <w:rPr>
          <w:rFonts w:ascii="仿宋" w:hAnsi="仿宋" w:eastAsia="仿宋" w:cs="仿宋"/>
          <w:sz w:val="31"/>
          <w:szCs w:val="31"/>
        </w:rPr>
        <w:t>宗，7</w:t>
      </w:r>
      <w:r>
        <w:rPr>
          <w:rFonts w:ascii="仿宋" w:hAnsi="仿宋" w:eastAsia="仿宋" w:cs="仿宋"/>
          <w:spacing w:val="-44"/>
          <w:sz w:val="31"/>
          <w:szCs w:val="31"/>
        </w:rPr>
        <w:t xml:space="preserve"> </w:t>
      </w:r>
      <w:r>
        <w:rPr>
          <w:rFonts w:ascii="仿宋" w:hAnsi="仿宋" w:eastAsia="仿宋" w:cs="仿宋"/>
          <w:sz w:val="31"/>
          <w:szCs w:val="31"/>
        </w:rPr>
        <w:t>宗探矿权拟探转采，有效采矿权</w:t>
      </w:r>
      <w:r>
        <w:rPr>
          <w:rFonts w:ascii="仿宋" w:hAnsi="仿宋" w:eastAsia="仿宋" w:cs="仿宋"/>
          <w:spacing w:val="-51"/>
          <w:sz w:val="31"/>
          <w:szCs w:val="31"/>
        </w:rPr>
        <w:t xml:space="preserve"> </w:t>
      </w:r>
      <w:r>
        <w:rPr>
          <w:rFonts w:ascii="仿宋" w:hAnsi="仿宋" w:eastAsia="仿宋" w:cs="仿宋"/>
          <w:sz w:val="31"/>
          <w:szCs w:val="31"/>
        </w:rPr>
        <w:t>7</w:t>
      </w:r>
      <w:r>
        <w:rPr>
          <w:rFonts w:ascii="仿宋" w:hAnsi="仿宋" w:eastAsia="仿宋" w:cs="仿宋"/>
          <w:spacing w:val="-44"/>
          <w:sz w:val="31"/>
          <w:szCs w:val="31"/>
        </w:rPr>
        <w:t xml:space="preserve"> </w:t>
      </w:r>
      <w:r>
        <w:rPr>
          <w:rFonts w:ascii="仿宋" w:hAnsi="仿宋" w:eastAsia="仿宋" w:cs="仿宋"/>
          <w:sz w:val="31"/>
          <w:szCs w:val="31"/>
        </w:rPr>
        <w:t>宗；勘</w:t>
      </w:r>
      <w:r>
        <w:rPr>
          <w:rFonts w:ascii="仿宋" w:hAnsi="仿宋" w:eastAsia="仿宋" w:cs="仿宋"/>
          <w:spacing w:val="9"/>
          <w:sz w:val="31"/>
          <w:szCs w:val="31"/>
        </w:rPr>
        <w:t>查开发受矿业权人资金短缺、生态环境保护论证、转采办理流程过长及自然条件差等影响，勘查开采工作进展缓慢。鼓励矿业权人需求规模化资金投入，克服矿区自然条件差的困难，推动矿业权人对有找矿前景探矿权在合法依规条件下进行勘查，提升金矿资源储量；对矿业权人转采按照相关要求</w:t>
      </w:r>
      <w:r>
        <w:rPr>
          <w:rFonts w:ascii="仿宋" w:hAnsi="仿宋" w:eastAsia="仿宋" w:cs="仿宋"/>
          <w:spacing w:val="8"/>
          <w:sz w:val="31"/>
          <w:szCs w:val="31"/>
        </w:rPr>
        <w:t>做好政策支持，稳定现有生产规模。</w:t>
      </w:r>
    </w:p>
    <w:p w14:paraId="063A48CC">
      <w:pPr>
        <w:pStyle w:val="2"/>
        <w:spacing w:line="193" w:lineRule="auto"/>
        <w:ind w:right="16"/>
        <w:jc w:val="right"/>
        <w:rPr>
          <w:rFonts w:ascii="仿宋" w:hAnsi="仿宋" w:eastAsia="仿宋" w:cs="仿宋"/>
          <w:sz w:val="31"/>
          <w:szCs w:val="31"/>
        </w:rPr>
      </w:pPr>
      <w:r>
        <w:rPr>
          <w:rFonts w:ascii="微软雅黑" w:hAnsi="微软雅黑" w:eastAsia="微软雅黑" w:cs="微软雅黑"/>
          <w:spacing w:val="5"/>
          <w:sz w:val="31"/>
          <w:szCs w:val="31"/>
        </w:rPr>
        <w:t>加强生态保护</w:t>
      </w:r>
      <w:r>
        <w:rPr>
          <w:rFonts w:ascii="微软雅黑" w:hAnsi="微软雅黑" w:eastAsia="微软雅黑" w:cs="微软雅黑"/>
          <w:spacing w:val="-20"/>
          <w:sz w:val="31"/>
          <w:szCs w:val="31"/>
        </w:rPr>
        <w:t xml:space="preserve"> </w:t>
      </w:r>
      <w:r>
        <w:rPr>
          <w:spacing w:val="5"/>
          <w:sz w:val="31"/>
          <w:szCs w:val="31"/>
        </w:rPr>
        <w:t>,</w:t>
      </w:r>
      <w:r>
        <w:rPr>
          <w:spacing w:val="37"/>
          <w:sz w:val="31"/>
          <w:szCs w:val="31"/>
        </w:rPr>
        <w:t xml:space="preserve">  </w:t>
      </w:r>
      <w:r>
        <w:rPr>
          <w:rFonts w:ascii="微软雅黑" w:hAnsi="微软雅黑" w:eastAsia="微软雅黑" w:cs="微软雅黑"/>
          <w:spacing w:val="5"/>
          <w:sz w:val="31"/>
          <w:szCs w:val="31"/>
        </w:rPr>
        <w:t>统筹锰矿资源保护性储备。</w:t>
      </w:r>
      <w:r>
        <w:rPr>
          <w:rFonts w:ascii="仿宋" w:hAnsi="仿宋" w:eastAsia="仿宋" w:cs="仿宋"/>
          <w:spacing w:val="5"/>
          <w:sz w:val="31"/>
          <w:szCs w:val="31"/>
        </w:rPr>
        <w:t>锰矿作为州</w:t>
      </w:r>
    </w:p>
    <w:p w14:paraId="333EBE1F">
      <w:pPr>
        <w:spacing w:line="193" w:lineRule="auto"/>
        <w:rPr>
          <w:rFonts w:ascii="仿宋" w:hAnsi="仿宋" w:eastAsia="仿宋" w:cs="仿宋"/>
          <w:sz w:val="31"/>
          <w:szCs w:val="31"/>
        </w:rPr>
        <w:sectPr>
          <w:footerReference r:id="rId28" w:type="default"/>
          <w:pgSz w:w="11904" w:h="16835"/>
          <w:pgMar w:top="1430" w:right="1785" w:bottom="1289" w:left="1785" w:header="0" w:footer="920" w:gutter="0"/>
          <w:cols w:space="720" w:num="1"/>
        </w:sectPr>
      </w:pPr>
    </w:p>
    <w:p w14:paraId="6E945FCB">
      <w:pPr>
        <w:spacing w:before="132" w:line="372" w:lineRule="auto"/>
        <w:ind w:left="21" w:right="34" w:firstLine="5"/>
        <w:jc w:val="both"/>
        <w:rPr>
          <w:rFonts w:ascii="仿宋" w:hAnsi="仿宋" w:eastAsia="仿宋" w:cs="仿宋"/>
          <w:sz w:val="31"/>
          <w:szCs w:val="31"/>
        </w:rPr>
      </w:pPr>
      <w:r>
        <w:rPr>
          <w:rFonts w:ascii="仿宋" w:hAnsi="仿宋" w:eastAsia="仿宋" w:cs="仿宋"/>
          <w:spacing w:val="9"/>
          <w:sz w:val="31"/>
          <w:szCs w:val="31"/>
        </w:rPr>
        <w:t>优势矿产之一，勘查程度不高，查明资源量不</w:t>
      </w:r>
      <w:r>
        <w:rPr>
          <w:rFonts w:ascii="仿宋" w:hAnsi="仿宋" w:eastAsia="仿宋" w:cs="仿宋"/>
          <w:spacing w:val="8"/>
          <w:sz w:val="31"/>
          <w:szCs w:val="31"/>
        </w:rPr>
        <w:t>多，查明资源</w:t>
      </w:r>
      <w:r>
        <w:rPr>
          <w:rFonts w:ascii="仿宋" w:hAnsi="仿宋" w:eastAsia="仿宋" w:cs="仿宋"/>
          <w:spacing w:val="7"/>
          <w:sz w:val="31"/>
          <w:szCs w:val="31"/>
        </w:rPr>
        <w:t>量矿区仅</w:t>
      </w:r>
      <w:r>
        <w:rPr>
          <w:rFonts w:ascii="仿宋" w:hAnsi="仿宋" w:eastAsia="仿宋" w:cs="仿宋"/>
          <w:spacing w:val="-22"/>
          <w:sz w:val="31"/>
          <w:szCs w:val="31"/>
        </w:rPr>
        <w:t xml:space="preserve"> </w:t>
      </w:r>
      <w:r>
        <w:rPr>
          <w:rFonts w:ascii="仿宋" w:hAnsi="仿宋" w:eastAsia="仿宋" w:cs="仿宋"/>
          <w:spacing w:val="7"/>
          <w:sz w:val="31"/>
          <w:szCs w:val="31"/>
        </w:rPr>
        <w:t>5</w:t>
      </w:r>
      <w:r>
        <w:rPr>
          <w:rFonts w:ascii="仿宋" w:hAnsi="仿宋" w:eastAsia="仿宋" w:cs="仿宋"/>
          <w:spacing w:val="-58"/>
          <w:sz w:val="31"/>
          <w:szCs w:val="31"/>
        </w:rPr>
        <w:t xml:space="preserve"> </w:t>
      </w:r>
      <w:r>
        <w:rPr>
          <w:rFonts w:ascii="仿宋" w:hAnsi="仿宋" w:eastAsia="仿宋" w:cs="仿宋"/>
          <w:spacing w:val="7"/>
          <w:sz w:val="31"/>
          <w:szCs w:val="31"/>
        </w:rPr>
        <w:t>个，其余</w:t>
      </w:r>
      <w:r>
        <w:rPr>
          <w:rFonts w:ascii="仿宋" w:hAnsi="仿宋" w:eastAsia="仿宋" w:cs="仿宋"/>
          <w:spacing w:val="-32"/>
          <w:sz w:val="31"/>
          <w:szCs w:val="31"/>
        </w:rPr>
        <w:t xml:space="preserve"> </w:t>
      </w:r>
      <w:r>
        <w:rPr>
          <w:rFonts w:ascii="仿宋" w:hAnsi="仿宋" w:eastAsia="仿宋" w:cs="仿宋"/>
          <w:spacing w:val="7"/>
          <w:sz w:val="31"/>
          <w:szCs w:val="31"/>
        </w:rPr>
        <w:t>10</w:t>
      </w:r>
      <w:r>
        <w:rPr>
          <w:rFonts w:ascii="仿宋" w:hAnsi="仿宋" w:eastAsia="仿宋" w:cs="仿宋"/>
          <w:spacing w:val="-58"/>
          <w:sz w:val="31"/>
          <w:szCs w:val="31"/>
        </w:rPr>
        <w:t xml:space="preserve"> </w:t>
      </w:r>
      <w:r>
        <w:rPr>
          <w:rFonts w:ascii="仿宋" w:hAnsi="仿宋" w:eastAsia="仿宋" w:cs="仿宋"/>
          <w:spacing w:val="7"/>
          <w:sz w:val="31"/>
          <w:szCs w:val="31"/>
        </w:rPr>
        <w:t>个探矿权处于待查明的状态；州</w:t>
      </w:r>
      <w:r>
        <w:rPr>
          <w:rFonts w:ascii="仿宋" w:hAnsi="仿宋" w:eastAsia="仿宋" w:cs="仿宋"/>
          <w:spacing w:val="-89"/>
          <w:sz w:val="31"/>
          <w:szCs w:val="31"/>
        </w:rPr>
        <w:t xml:space="preserve"> </w:t>
      </w:r>
      <w:r>
        <w:rPr>
          <w:rFonts w:ascii="仿宋" w:hAnsi="仿宋" w:eastAsia="仿宋" w:cs="仿宋"/>
          <w:spacing w:val="7"/>
          <w:sz w:val="31"/>
          <w:szCs w:val="31"/>
        </w:rPr>
        <w:t>内</w:t>
      </w:r>
      <w:r>
        <w:rPr>
          <w:rFonts w:ascii="仿宋" w:hAnsi="仿宋" w:eastAsia="仿宋" w:cs="仿宋"/>
          <w:spacing w:val="9"/>
          <w:sz w:val="31"/>
          <w:szCs w:val="31"/>
        </w:rPr>
        <w:t>锰矿开发利用程度低，且均位于保护区和森林公园内。结合</w:t>
      </w:r>
      <w:bookmarkStart w:id="23" w:name="bookmark16"/>
      <w:bookmarkEnd w:id="23"/>
      <w:r>
        <w:rPr>
          <w:rFonts w:ascii="仿宋" w:hAnsi="仿宋" w:eastAsia="仿宋" w:cs="仿宋"/>
          <w:spacing w:val="-3"/>
          <w:sz w:val="31"/>
          <w:szCs w:val="31"/>
        </w:rPr>
        <w:t>州情，以生态保护为前提，暂不作开发，作为优势资源储备。</w:t>
      </w:r>
    </w:p>
    <w:p w14:paraId="72089DD2">
      <w:pPr>
        <w:spacing w:before="274" w:line="322" w:lineRule="exact"/>
        <w:ind w:left="1578"/>
        <w:outlineLvl w:val="0"/>
        <w:rPr>
          <w:rFonts w:ascii="微软雅黑" w:hAnsi="微软雅黑" w:eastAsia="微软雅黑" w:cs="微软雅黑"/>
          <w:sz w:val="32"/>
          <w:szCs w:val="32"/>
        </w:rPr>
      </w:pPr>
      <w:bookmarkStart w:id="24" w:name="bookmark37"/>
      <w:bookmarkEnd w:id="24"/>
      <w:r>
        <w:rPr>
          <w:rFonts w:ascii="微软雅黑" w:hAnsi="微软雅黑" w:eastAsia="微软雅黑" w:cs="微软雅黑"/>
          <w:spacing w:val="-8"/>
          <w:position w:val="-2"/>
          <w:sz w:val="32"/>
          <w:szCs w:val="32"/>
        </w:rPr>
        <w:t>第五节</w:t>
      </w:r>
      <w:r>
        <w:rPr>
          <w:rFonts w:ascii="微软雅黑" w:hAnsi="微软雅黑" w:eastAsia="微软雅黑" w:cs="微软雅黑"/>
          <w:spacing w:val="103"/>
          <w:position w:val="-2"/>
          <w:sz w:val="32"/>
          <w:szCs w:val="32"/>
        </w:rPr>
        <w:t xml:space="preserve"> </w:t>
      </w:r>
      <w:r>
        <w:rPr>
          <w:rFonts w:ascii="微软雅黑" w:hAnsi="微软雅黑" w:eastAsia="微软雅黑" w:cs="微软雅黑"/>
          <w:spacing w:val="-8"/>
          <w:position w:val="-2"/>
          <w:sz w:val="32"/>
          <w:szCs w:val="32"/>
        </w:rPr>
        <w:t>科学划定矿产资源重点勘查开采区</w:t>
      </w:r>
    </w:p>
    <w:p w14:paraId="3C9CCE70">
      <w:pPr>
        <w:pStyle w:val="2"/>
        <w:spacing w:line="241" w:lineRule="auto"/>
      </w:pPr>
    </w:p>
    <w:p w14:paraId="6C766C3B">
      <w:pPr>
        <w:pStyle w:val="2"/>
        <w:spacing w:line="242" w:lineRule="auto"/>
      </w:pPr>
    </w:p>
    <w:p w14:paraId="22EBD056">
      <w:pPr>
        <w:spacing w:before="101" w:line="225" w:lineRule="auto"/>
        <w:ind w:left="669"/>
        <w:rPr>
          <w:rFonts w:ascii="黑体" w:hAnsi="黑体" w:eastAsia="黑体" w:cs="黑体"/>
          <w:sz w:val="31"/>
          <w:szCs w:val="31"/>
        </w:rPr>
      </w:pPr>
      <w:r>
        <w:rPr>
          <w:rFonts w:ascii="黑体" w:hAnsi="黑体" w:eastAsia="黑体" w:cs="黑体"/>
          <w:spacing w:val="7"/>
          <w:sz w:val="31"/>
          <w:szCs w:val="31"/>
        </w:rPr>
        <w:t>一、矿产资源勘查</w:t>
      </w:r>
    </w:p>
    <w:p w14:paraId="6DD2753D">
      <w:pPr>
        <w:spacing w:before="246" w:line="325" w:lineRule="auto"/>
        <w:ind w:left="21" w:firstLine="648"/>
        <w:jc w:val="both"/>
        <w:rPr>
          <w:rFonts w:ascii="仿宋" w:hAnsi="仿宋" w:eastAsia="仿宋" w:cs="仿宋"/>
          <w:sz w:val="31"/>
          <w:szCs w:val="31"/>
        </w:rPr>
      </w:pPr>
      <w:r>
        <w:rPr>
          <w:rFonts w:ascii="微软雅黑" w:hAnsi="微软雅黑" w:eastAsia="微软雅黑" w:cs="微软雅黑"/>
          <w:spacing w:val="8"/>
          <w:position w:val="1"/>
          <w:sz w:val="31"/>
          <w:szCs w:val="31"/>
        </w:rPr>
        <w:t>重点勘查区:</w:t>
      </w:r>
      <w:r>
        <w:rPr>
          <w:rFonts w:ascii="微软雅黑" w:hAnsi="微软雅黑" w:eastAsia="微软雅黑" w:cs="微软雅黑"/>
          <w:spacing w:val="32"/>
          <w:position w:val="1"/>
          <w:sz w:val="31"/>
          <w:szCs w:val="31"/>
        </w:rPr>
        <w:t xml:space="preserve">  </w:t>
      </w:r>
      <w:r>
        <w:rPr>
          <w:rFonts w:ascii="仿宋" w:hAnsi="仿宋" w:eastAsia="仿宋" w:cs="仿宋"/>
          <w:spacing w:val="8"/>
          <w:sz w:val="31"/>
          <w:szCs w:val="31"/>
        </w:rPr>
        <w:t>布局优势矿产重点勘查工作，落实国家划</w:t>
      </w:r>
      <w:r>
        <w:rPr>
          <w:rFonts w:ascii="仿宋" w:hAnsi="仿宋" w:eastAsia="仿宋" w:cs="仿宋"/>
          <w:spacing w:val="6"/>
          <w:sz w:val="31"/>
          <w:szCs w:val="31"/>
        </w:rPr>
        <w:t>定的重点勘查区</w:t>
      </w:r>
      <w:r>
        <w:rPr>
          <w:rFonts w:ascii="仿宋" w:hAnsi="仿宋" w:eastAsia="仿宋" w:cs="仿宋"/>
          <w:spacing w:val="-13"/>
          <w:sz w:val="31"/>
          <w:szCs w:val="31"/>
        </w:rPr>
        <w:t xml:space="preserve"> </w:t>
      </w:r>
      <w:r>
        <w:rPr>
          <w:rFonts w:ascii="仿宋" w:hAnsi="仿宋" w:eastAsia="仿宋" w:cs="仿宋"/>
          <w:spacing w:val="6"/>
          <w:sz w:val="31"/>
          <w:szCs w:val="31"/>
        </w:rPr>
        <w:t>3</w:t>
      </w:r>
      <w:r>
        <w:rPr>
          <w:rFonts w:ascii="仿宋" w:hAnsi="仿宋" w:eastAsia="仿宋" w:cs="仿宋"/>
          <w:spacing w:val="-59"/>
          <w:sz w:val="31"/>
          <w:szCs w:val="31"/>
        </w:rPr>
        <w:t xml:space="preserve"> </w:t>
      </w:r>
      <w:r>
        <w:rPr>
          <w:rFonts w:ascii="仿宋" w:hAnsi="仿宋" w:eastAsia="仿宋" w:cs="仿宋"/>
          <w:spacing w:val="6"/>
          <w:sz w:val="31"/>
          <w:szCs w:val="31"/>
        </w:rPr>
        <w:t>个，其中</w:t>
      </w:r>
      <w:r>
        <w:rPr>
          <w:rFonts w:ascii="仿宋" w:hAnsi="仿宋" w:eastAsia="仿宋" w:cs="仿宋"/>
          <w:spacing w:val="-44"/>
          <w:sz w:val="31"/>
          <w:szCs w:val="31"/>
        </w:rPr>
        <w:t xml:space="preserve"> </w:t>
      </w:r>
      <w:r>
        <w:rPr>
          <w:rFonts w:ascii="仿宋" w:hAnsi="仿宋" w:eastAsia="仿宋" w:cs="仿宋"/>
          <w:spacing w:val="6"/>
          <w:sz w:val="31"/>
          <w:szCs w:val="31"/>
        </w:rPr>
        <w:t>2</w:t>
      </w:r>
      <w:r>
        <w:rPr>
          <w:rFonts w:ascii="仿宋" w:hAnsi="仿宋" w:eastAsia="仿宋" w:cs="仿宋"/>
          <w:spacing w:val="-58"/>
          <w:sz w:val="31"/>
          <w:szCs w:val="31"/>
        </w:rPr>
        <w:t xml:space="preserve"> </w:t>
      </w:r>
      <w:r>
        <w:rPr>
          <w:rFonts w:ascii="仿宋" w:hAnsi="仿宋" w:eastAsia="仿宋" w:cs="仿宋"/>
          <w:spacing w:val="6"/>
          <w:sz w:val="31"/>
          <w:szCs w:val="31"/>
        </w:rPr>
        <w:t>个锂矿，1</w:t>
      </w:r>
      <w:r>
        <w:rPr>
          <w:rFonts w:ascii="仿宋" w:hAnsi="仿宋" w:eastAsia="仿宋" w:cs="仿宋"/>
          <w:spacing w:val="-59"/>
          <w:sz w:val="31"/>
          <w:szCs w:val="31"/>
        </w:rPr>
        <w:t xml:space="preserve"> </w:t>
      </w:r>
      <w:r>
        <w:rPr>
          <w:rFonts w:ascii="仿宋" w:hAnsi="仿宋" w:eastAsia="仿宋" w:cs="仿宋"/>
          <w:spacing w:val="6"/>
          <w:sz w:val="31"/>
          <w:szCs w:val="31"/>
        </w:rPr>
        <w:t>个金矿。可尔因地</w:t>
      </w:r>
      <w:r>
        <w:rPr>
          <w:rFonts w:ascii="仿宋" w:hAnsi="仿宋" w:eastAsia="仿宋" w:cs="仿宋"/>
          <w:spacing w:val="3"/>
          <w:sz w:val="31"/>
          <w:szCs w:val="31"/>
        </w:rPr>
        <w:t>区立足现有</w:t>
      </w:r>
      <w:r>
        <w:rPr>
          <w:rFonts w:ascii="仿宋" w:hAnsi="仿宋" w:eastAsia="仿宋" w:cs="仿宋"/>
          <w:spacing w:val="-30"/>
          <w:sz w:val="31"/>
          <w:szCs w:val="31"/>
        </w:rPr>
        <w:t xml:space="preserve"> </w:t>
      </w:r>
      <w:r>
        <w:rPr>
          <w:rFonts w:ascii="仿宋" w:hAnsi="仿宋" w:eastAsia="仿宋" w:cs="仿宋"/>
          <w:spacing w:val="3"/>
          <w:sz w:val="31"/>
          <w:szCs w:val="31"/>
        </w:rPr>
        <w:t>7</w:t>
      </w:r>
      <w:r>
        <w:rPr>
          <w:rFonts w:ascii="仿宋" w:hAnsi="仿宋" w:eastAsia="仿宋" w:cs="仿宋"/>
          <w:spacing w:val="-58"/>
          <w:sz w:val="31"/>
          <w:szCs w:val="31"/>
        </w:rPr>
        <w:t xml:space="preserve"> </w:t>
      </w:r>
      <w:r>
        <w:rPr>
          <w:rFonts w:ascii="仿宋" w:hAnsi="仿宋" w:eastAsia="仿宋" w:cs="仿宋"/>
          <w:spacing w:val="3"/>
          <w:sz w:val="31"/>
          <w:szCs w:val="31"/>
        </w:rPr>
        <w:t>个探矿权。按照</w:t>
      </w:r>
      <w:r>
        <w:rPr>
          <w:rFonts w:ascii="仿宋" w:hAnsi="仿宋" w:eastAsia="仿宋" w:cs="仿宋"/>
          <w:spacing w:val="-106"/>
          <w:sz w:val="31"/>
          <w:szCs w:val="31"/>
        </w:rPr>
        <w:t xml:space="preserve"> </w:t>
      </w:r>
      <w:r>
        <w:rPr>
          <w:rFonts w:ascii="仿宋" w:hAnsi="仿宋" w:eastAsia="仿宋" w:cs="仿宋"/>
          <w:spacing w:val="3"/>
          <w:sz w:val="31"/>
          <w:szCs w:val="31"/>
        </w:rPr>
        <w:t>“放大资本、整合优势”</w:t>
      </w:r>
      <w:r>
        <w:rPr>
          <w:rFonts w:ascii="仿宋" w:hAnsi="仿宋" w:eastAsia="仿宋" w:cs="仿宋"/>
          <w:spacing w:val="-116"/>
          <w:sz w:val="31"/>
          <w:szCs w:val="31"/>
        </w:rPr>
        <w:t xml:space="preserve"> </w:t>
      </w:r>
      <w:r>
        <w:rPr>
          <w:rFonts w:ascii="仿宋" w:hAnsi="仿宋" w:eastAsia="仿宋" w:cs="仿宋"/>
          <w:spacing w:val="3"/>
          <w:sz w:val="31"/>
          <w:szCs w:val="31"/>
        </w:rPr>
        <w:t>的思</w:t>
      </w:r>
      <w:r>
        <w:rPr>
          <w:rFonts w:ascii="仿宋" w:hAnsi="仿宋" w:eastAsia="仿宋" w:cs="仿宋"/>
          <w:spacing w:val="-1"/>
          <w:sz w:val="31"/>
          <w:szCs w:val="31"/>
        </w:rPr>
        <w:t>路，积极引进业内领先的大企业、大集团，整合资本、技术、</w:t>
      </w:r>
      <w:r>
        <w:rPr>
          <w:rFonts w:ascii="仿宋" w:hAnsi="仿宋" w:eastAsia="仿宋" w:cs="仿宋"/>
          <w:spacing w:val="9"/>
          <w:sz w:val="31"/>
          <w:szCs w:val="31"/>
        </w:rPr>
        <w:t>人才、矿业权等要素优化资本结构、做大企业规模、提升综合实力，推进已有探矿权提升勘查程度；斯约武地区积极协调国家、省级财政加大勘查项目投入，积极引导社会资本提升现有探矿权内矿产勘查质量，力争实现找矿突破。提高综</w:t>
      </w:r>
      <w:r>
        <w:rPr>
          <w:rFonts w:ascii="仿宋" w:hAnsi="仿宋" w:eastAsia="仿宋" w:cs="仿宋"/>
          <w:spacing w:val="-1"/>
          <w:sz w:val="31"/>
          <w:szCs w:val="31"/>
        </w:rPr>
        <w:t>合勘查水平，在对主要矿产进行勘查评价的同时，必须对铍、</w:t>
      </w:r>
      <w:r>
        <w:rPr>
          <w:rFonts w:ascii="仿宋" w:hAnsi="仿宋" w:eastAsia="仿宋" w:cs="仿宋"/>
          <w:spacing w:val="9"/>
          <w:sz w:val="31"/>
          <w:szCs w:val="31"/>
        </w:rPr>
        <w:t>铌、钽等共伴生矿产一并进行综合评价；金木达地区，鼓励借鉴西藏华泰隆甲玛铜矿、西藏驱龙铜矿在处理与群众利益关系方面的做法和经验，推进地方产业联动效应和地方乡村</w:t>
      </w:r>
      <w:r>
        <w:rPr>
          <w:rFonts w:ascii="仿宋" w:hAnsi="仿宋" w:eastAsia="仿宋" w:cs="仿宋"/>
          <w:spacing w:val="8"/>
          <w:sz w:val="31"/>
          <w:szCs w:val="31"/>
        </w:rPr>
        <w:t>振兴共建共享，进一步提升勘查质量。</w:t>
      </w:r>
    </w:p>
    <w:p w14:paraId="6648213E">
      <w:pPr>
        <w:spacing w:before="5" w:line="337" w:lineRule="auto"/>
        <w:ind w:left="30" w:right="48" w:firstLine="627"/>
        <w:jc w:val="both"/>
        <w:rPr>
          <w:rFonts w:ascii="仿宋" w:hAnsi="仿宋" w:eastAsia="仿宋" w:cs="仿宋"/>
          <w:sz w:val="31"/>
          <w:szCs w:val="31"/>
        </w:rPr>
      </w:pPr>
      <w:r>
        <w:rPr>
          <w:rFonts w:ascii="微软雅黑" w:hAnsi="微软雅黑" w:eastAsia="微软雅黑" w:cs="微软雅黑"/>
          <w:spacing w:val="8"/>
          <w:position w:val="1"/>
          <w:sz w:val="31"/>
          <w:szCs w:val="31"/>
        </w:rPr>
        <w:t>勘查规划区块:</w:t>
      </w:r>
      <w:r>
        <w:rPr>
          <w:rFonts w:ascii="微软雅黑" w:hAnsi="微软雅黑" w:eastAsia="微软雅黑" w:cs="微软雅黑"/>
          <w:spacing w:val="36"/>
          <w:position w:val="1"/>
          <w:sz w:val="31"/>
          <w:szCs w:val="31"/>
        </w:rPr>
        <w:t xml:space="preserve">  </w:t>
      </w:r>
      <w:r>
        <w:rPr>
          <w:rFonts w:ascii="仿宋" w:hAnsi="仿宋" w:eastAsia="仿宋" w:cs="仿宋"/>
          <w:spacing w:val="8"/>
          <w:sz w:val="31"/>
          <w:szCs w:val="31"/>
        </w:rPr>
        <w:t>根据矿业权出让登记管理权限，结合重点勘查区和地质矿产调查评价成果，划定本级出让登记矿种</w:t>
      </w:r>
      <w:r>
        <w:rPr>
          <w:rFonts w:ascii="仿宋" w:hAnsi="仿宋" w:eastAsia="仿宋" w:cs="仿宋"/>
          <w:spacing w:val="4"/>
          <w:sz w:val="31"/>
          <w:szCs w:val="31"/>
        </w:rPr>
        <w:t>勘查区块</w:t>
      </w:r>
      <w:r>
        <w:rPr>
          <w:rFonts w:ascii="仿宋" w:hAnsi="仿宋" w:eastAsia="仿宋" w:cs="仿宋"/>
          <w:spacing w:val="-34"/>
          <w:sz w:val="31"/>
          <w:szCs w:val="31"/>
        </w:rPr>
        <w:t xml:space="preserve"> </w:t>
      </w:r>
      <w:r>
        <w:rPr>
          <w:rFonts w:ascii="仿宋" w:hAnsi="仿宋" w:eastAsia="仿宋" w:cs="仿宋"/>
          <w:spacing w:val="4"/>
          <w:sz w:val="31"/>
          <w:szCs w:val="31"/>
        </w:rPr>
        <w:t>8</w:t>
      </w:r>
      <w:r>
        <w:rPr>
          <w:rFonts w:ascii="仿宋" w:hAnsi="仿宋" w:eastAsia="仿宋" w:cs="仿宋"/>
          <w:spacing w:val="-59"/>
          <w:sz w:val="31"/>
          <w:szCs w:val="31"/>
        </w:rPr>
        <w:t xml:space="preserve"> </w:t>
      </w:r>
      <w:r>
        <w:rPr>
          <w:rFonts w:ascii="仿宋" w:hAnsi="仿宋" w:eastAsia="仿宋" w:cs="仿宋"/>
          <w:spacing w:val="4"/>
          <w:sz w:val="31"/>
          <w:szCs w:val="31"/>
        </w:rPr>
        <w:t>个，总面积</w:t>
      </w:r>
      <w:r>
        <w:rPr>
          <w:rFonts w:ascii="仿宋" w:hAnsi="仿宋" w:eastAsia="仿宋" w:cs="仿宋"/>
          <w:spacing w:val="-49"/>
          <w:sz w:val="31"/>
          <w:szCs w:val="31"/>
        </w:rPr>
        <w:t xml:space="preserve"> </w:t>
      </w:r>
      <w:r>
        <w:rPr>
          <w:rFonts w:ascii="仿宋" w:hAnsi="仿宋" w:eastAsia="仿宋" w:cs="仿宋"/>
          <w:spacing w:val="4"/>
          <w:sz w:val="31"/>
          <w:szCs w:val="31"/>
        </w:rPr>
        <w:t>25.98</w:t>
      </w:r>
      <w:r>
        <w:rPr>
          <w:rFonts w:ascii="仿宋" w:hAnsi="仿宋" w:eastAsia="仿宋" w:cs="仿宋"/>
          <w:spacing w:val="-56"/>
          <w:sz w:val="31"/>
          <w:szCs w:val="31"/>
        </w:rPr>
        <w:t xml:space="preserve"> </w:t>
      </w:r>
      <w:r>
        <w:rPr>
          <w:rFonts w:ascii="仿宋" w:hAnsi="仿宋" w:eastAsia="仿宋" w:cs="仿宋"/>
          <w:spacing w:val="4"/>
          <w:sz w:val="31"/>
          <w:szCs w:val="31"/>
        </w:rPr>
        <w:t>平方千米，县级规划应落实州</w:t>
      </w:r>
    </w:p>
    <w:p w14:paraId="1DB858CC">
      <w:pPr>
        <w:spacing w:line="337" w:lineRule="auto"/>
        <w:rPr>
          <w:rFonts w:ascii="仿宋" w:hAnsi="仿宋" w:eastAsia="仿宋" w:cs="仿宋"/>
          <w:sz w:val="31"/>
          <w:szCs w:val="31"/>
        </w:rPr>
        <w:sectPr>
          <w:footerReference r:id="rId29" w:type="default"/>
          <w:pgSz w:w="11904" w:h="16835"/>
          <w:pgMar w:top="1430" w:right="1753" w:bottom="1289" w:left="1785" w:header="0" w:footer="923" w:gutter="0"/>
          <w:cols w:space="720" w:num="1"/>
        </w:sectPr>
      </w:pPr>
    </w:p>
    <w:p w14:paraId="79156880">
      <w:pPr>
        <w:spacing w:before="136" w:line="219" w:lineRule="auto"/>
        <w:ind w:left="40"/>
        <w:rPr>
          <w:rFonts w:ascii="仿宋" w:hAnsi="仿宋" w:eastAsia="仿宋" w:cs="仿宋"/>
          <w:sz w:val="31"/>
          <w:szCs w:val="31"/>
        </w:rPr>
      </w:pPr>
      <w:r>
        <w:rPr>
          <w:rFonts w:ascii="仿宋" w:hAnsi="仿宋" w:eastAsia="仿宋" w:cs="仿宋"/>
          <w:spacing w:val="8"/>
          <w:sz w:val="31"/>
          <w:szCs w:val="31"/>
        </w:rPr>
        <w:t>级规划划定的勘查规划区块，作为探矿权设置依据。</w:t>
      </w:r>
    </w:p>
    <w:p w14:paraId="5DAB046F">
      <w:pPr>
        <w:spacing w:before="3"/>
      </w:pPr>
    </w:p>
    <w:p w14:paraId="6F3C16CA">
      <w:pPr>
        <w:spacing w:before="3"/>
      </w:pPr>
    </w:p>
    <w:tbl>
      <w:tblPr>
        <w:tblStyle w:val="5"/>
        <w:tblW w:w="82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7"/>
      </w:tblGrid>
      <w:tr w14:paraId="11C8F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287" w:type="dxa"/>
            <w:shd w:val="clear" w:color="auto" w:fill="9FD3A4"/>
            <w:vAlign w:val="top"/>
          </w:tcPr>
          <w:p w14:paraId="4D61267E">
            <w:pPr>
              <w:spacing w:before="149" w:line="223" w:lineRule="auto"/>
              <w:ind w:left="2800"/>
              <w:rPr>
                <w:rFonts w:ascii="黑体" w:hAnsi="黑体" w:eastAsia="黑体" w:cs="黑体"/>
                <w:sz w:val="28"/>
                <w:szCs w:val="28"/>
              </w:rPr>
            </w:pPr>
            <w:r>
              <w:rPr>
                <w:rFonts w:ascii="黑体" w:hAnsi="黑体" w:eastAsia="黑体" w:cs="黑体"/>
                <w:spacing w:val="4"/>
                <w:sz w:val="28"/>
                <w:szCs w:val="28"/>
              </w:rPr>
              <w:t>专栏7  矿产资源勘查分区</w:t>
            </w:r>
          </w:p>
        </w:tc>
      </w:tr>
      <w:tr w14:paraId="6843D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6" w:hRule="atLeast"/>
        </w:trPr>
        <w:tc>
          <w:tcPr>
            <w:tcW w:w="8287" w:type="dxa"/>
            <w:vAlign w:val="top"/>
          </w:tcPr>
          <w:p w14:paraId="7622E029">
            <w:pPr>
              <w:spacing w:before="100" w:line="221" w:lineRule="auto"/>
              <w:ind w:left="123"/>
              <w:rPr>
                <w:rFonts w:ascii="黑体" w:hAnsi="黑体" w:eastAsia="黑体" w:cs="黑体"/>
                <w:sz w:val="23"/>
                <w:szCs w:val="23"/>
              </w:rPr>
            </w:pPr>
            <w:r>
              <w:rPr>
                <w:rFonts w:ascii="黑体" w:hAnsi="黑体" w:eastAsia="黑体" w:cs="黑体"/>
                <w:spacing w:val="10"/>
                <w:sz w:val="23"/>
                <w:szCs w:val="23"/>
              </w:rPr>
              <w:t>一、国家级重点勘查区：锂矿（2</w:t>
            </w:r>
            <w:r>
              <w:rPr>
                <w:rFonts w:ascii="黑体" w:hAnsi="黑体" w:eastAsia="黑体" w:cs="黑体"/>
                <w:spacing w:val="-43"/>
                <w:sz w:val="23"/>
                <w:szCs w:val="23"/>
              </w:rPr>
              <w:t xml:space="preserve"> </w:t>
            </w:r>
            <w:r>
              <w:rPr>
                <w:rFonts w:ascii="黑体" w:hAnsi="黑体" w:eastAsia="黑体" w:cs="黑体"/>
                <w:spacing w:val="10"/>
                <w:sz w:val="23"/>
                <w:szCs w:val="23"/>
              </w:rPr>
              <w:t>个</w:t>
            </w:r>
            <w:r>
              <w:rPr>
                <w:rFonts w:ascii="黑体" w:hAnsi="黑体" w:eastAsia="黑体" w:cs="黑体"/>
                <w:spacing w:val="16"/>
                <w:sz w:val="23"/>
                <w:szCs w:val="23"/>
              </w:rPr>
              <w:t>），</w:t>
            </w:r>
            <w:r>
              <w:rPr>
                <w:rFonts w:ascii="黑体" w:hAnsi="黑体" w:eastAsia="黑体" w:cs="黑体"/>
                <w:spacing w:val="10"/>
                <w:sz w:val="23"/>
                <w:szCs w:val="23"/>
              </w:rPr>
              <w:t>金矿（1个）</w:t>
            </w:r>
          </w:p>
          <w:p w14:paraId="271FB087">
            <w:pPr>
              <w:pStyle w:val="6"/>
              <w:spacing w:before="119" w:line="375" w:lineRule="auto"/>
              <w:ind w:left="119" w:right="99" w:firstLine="495"/>
              <w:rPr>
                <w:sz w:val="23"/>
                <w:szCs w:val="23"/>
              </w:rPr>
            </w:pPr>
            <w:r>
              <w:rPr>
                <w:spacing w:val="7"/>
                <w:sz w:val="23"/>
                <w:szCs w:val="23"/>
              </w:rPr>
              <w:t>1、阿坝可尔因地区（锂矿</w:t>
            </w:r>
            <w:r>
              <w:rPr>
                <w:spacing w:val="5"/>
                <w:sz w:val="23"/>
                <w:szCs w:val="23"/>
              </w:rPr>
              <w:t>）：</w:t>
            </w:r>
            <w:r>
              <w:rPr>
                <w:spacing w:val="7"/>
                <w:sz w:val="23"/>
                <w:szCs w:val="23"/>
              </w:rPr>
              <w:t>涉及马尔康市和金川县，面积约</w:t>
            </w:r>
            <w:r>
              <w:rPr>
                <w:spacing w:val="-35"/>
                <w:sz w:val="23"/>
                <w:szCs w:val="23"/>
              </w:rPr>
              <w:t xml:space="preserve"> </w:t>
            </w:r>
            <w:r>
              <w:rPr>
                <w:spacing w:val="7"/>
                <w:sz w:val="23"/>
                <w:szCs w:val="23"/>
              </w:rPr>
              <w:t>535.07平方千米，主要矿种为锂矿。包括金川可尔因伟晶岩田南部密集区、金川可尔因伟晶岩田西部密集区、马尔康可尔因伟晶岩田东北部密集区、金川可尔因伟晶岩田东南部密集区。</w:t>
            </w:r>
          </w:p>
          <w:p w14:paraId="33341DE3">
            <w:pPr>
              <w:pStyle w:val="6"/>
              <w:spacing w:before="1" w:line="374" w:lineRule="auto"/>
              <w:ind w:left="130" w:right="159" w:firstLine="478"/>
              <w:rPr>
                <w:sz w:val="23"/>
                <w:szCs w:val="23"/>
              </w:rPr>
            </w:pPr>
            <w:r>
              <w:rPr>
                <w:spacing w:val="7"/>
                <w:sz w:val="23"/>
                <w:szCs w:val="23"/>
              </w:rPr>
              <w:t>2、阿坝斯约武（锂矿</w:t>
            </w:r>
            <w:r>
              <w:rPr>
                <w:spacing w:val="24"/>
                <w:sz w:val="23"/>
                <w:szCs w:val="23"/>
              </w:rPr>
              <w:t>）：</w:t>
            </w:r>
            <w:r>
              <w:rPr>
                <w:spacing w:val="7"/>
                <w:sz w:val="23"/>
                <w:szCs w:val="23"/>
              </w:rPr>
              <w:t>涉及壤塘县和金川县，面积约***</w:t>
            </w:r>
            <w:r>
              <w:rPr>
                <w:spacing w:val="6"/>
                <w:sz w:val="23"/>
                <w:szCs w:val="23"/>
              </w:rPr>
              <w:t>*平方千米，</w:t>
            </w:r>
            <w:r>
              <w:rPr>
                <w:spacing w:val="9"/>
                <w:sz w:val="23"/>
                <w:szCs w:val="23"/>
              </w:rPr>
              <w:t>主要矿种为锂矿。包括壤塘县斯约武地区的锂矿、铌钽矿勘查</w:t>
            </w:r>
            <w:r>
              <w:rPr>
                <w:spacing w:val="8"/>
                <w:sz w:val="23"/>
                <w:szCs w:val="23"/>
              </w:rPr>
              <w:t>项目。</w:t>
            </w:r>
          </w:p>
          <w:p w14:paraId="73BD254D">
            <w:pPr>
              <w:pStyle w:val="6"/>
              <w:spacing w:before="3" w:line="374" w:lineRule="auto"/>
              <w:ind w:left="127" w:right="71" w:firstLine="491"/>
              <w:rPr>
                <w:sz w:val="23"/>
                <w:szCs w:val="23"/>
              </w:rPr>
            </w:pPr>
            <w:r>
              <w:rPr>
                <w:spacing w:val="8"/>
                <w:sz w:val="23"/>
                <w:szCs w:val="23"/>
              </w:rPr>
              <w:t>3、阿坝金木达（金矿</w:t>
            </w:r>
            <w:r>
              <w:rPr>
                <w:spacing w:val="30"/>
                <w:sz w:val="23"/>
                <w:szCs w:val="23"/>
              </w:rPr>
              <w:t>）：</w:t>
            </w:r>
            <w:r>
              <w:rPr>
                <w:spacing w:val="8"/>
                <w:sz w:val="23"/>
                <w:szCs w:val="23"/>
              </w:rPr>
              <w:t>涉及壤塘县，面积约****平方千米，主要矿种</w:t>
            </w:r>
            <w:r>
              <w:rPr>
                <w:spacing w:val="1"/>
                <w:sz w:val="23"/>
                <w:szCs w:val="23"/>
              </w:rPr>
              <w:t>为锂矿。包括金木达金矿详查、南木达金矿详查、如伊沟金矿详查等勘</w:t>
            </w:r>
            <w:r>
              <w:rPr>
                <w:sz w:val="23"/>
                <w:szCs w:val="23"/>
              </w:rPr>
              <w:t>查项目。</w:t>
            </w:r>
          </w:p>
          <w:p w14:paraId="5A82E6F9">
            <w:pPr>
              <w:spacing w:before="9" w:line="229" w:lineRule="auto"/>
              <w:ind w:left="123"/>
              <w:rPr>
                <w:rFonts w:ascii="黑体" w:hAnsi="黑体" w:eastAsia="黑体" w:cs="黑体"/>
                <w:sz w:val="23"/>
                <w:szCs w:val="23"/>
              </w:rPr>
            </w:pPr>
            <w:r>
              <w:rPr>
                <w:rFonts w:ascii="黑体" w:hAnsi="黑体" w:eastAsia="黑体" w:cs="黑体"/>
                <w:spacing w:val="8"/>
                <w:sz w:val="23"/>
                <w:szCs w:val="23"/>
              </w:rPr>
              <w:t>二、划定本级出让登记勘查规划区块：</w:t>
            </w:r>
          </w:p>
          <w:p w14:paraId="1E63141D">
            <w:pPr>
              <w:pStyle w:val="6"/>
              <w:spacing w:before="97" w:line="340" w:lineRule="auto"/>
              <w:ind w:left="120" w:right="99" w:firstLine="495"/>
              <w:rPr>
                <w:sz w:val="23"/>
                <w:szCs w:val="23"/>
              </w:rPr>
            </w:pPr>
            <w:r>
              <w:rPr>
                <w:rFonts w:ascii="Arial" w:hAnsi="Arial" w:eastAsia="Arial" w:cs="Arial"/>
                <w:spacing w:val="4"/>
                <w:sz w:val="23"/>
                <w:szCs w:val="23"/>
              </w:rPr>
              <w:t>1</w:t>
            </w:r>
            <w:r>
              <w:rPr>
                <w:rFonts w:ascii="Arial" w:hAnsi="Arial" w:eastAsia="Arial" w:cs="Arial"/>
                <w:spacing w:val="-15"/>
                <w:sz w:val="23"/>
                <w:szCs w:val="23"/>
              </w:rPr>
              <w:t xml:space="preserve"> </w:t>
            </w:r>
            <w:r>
              <w:rPr>
                <w:rFonts w:ascii="微软雅黑" w:hAnsi="微软雅黑" w:eastAsia="微软雅黑" w:cs="微软雅黑"/>
                <w:spacing w:val="4"/>
                <w:sz w:val="23"/>
                <w:szCs w:val="23"/>
              </w:rPr>
              <w:t>、地热</w:t>
            </w:r>
            <w:r>
              <w:rPr>
                <w:rFonts w:ascii="微软雅黑" w:hAnsi="微软雅黑" w:eastAsia="微软雅黑" w:cs="微软雅黑"/>
                <w:spacing w:val="-40"/>
                <w:sz w:val="23"/>
                <w:szCs w:val="23"/>
              </w:rPr>
              <w:t xml:space="preserve"> </w:t>
            </w:r>
            <w:r>
              <w:rPr>
                <w:rFonts w:ascii="微软雅黑" w:hAnsi="微软雅黑" w:eastAsia="微软雅黑" w:cs="微软雅黑"/>
                <w:spacing w:val="4"/>
                <w:sz w:val="23"/>
                <w:szCs w:val="23"/>
              </w:rPr>
              <w:t>、饮用矿泉水:</w:t>
            </w:r>
            <w:r>
              <w:rPr>
                <w:rFonts w:ascii="微软雅黑" w:hAnsi="微软雅黑" w:eastAsia="微软雅黑" w:cs="微软雅黑"/>
                <w:spacing w:val="27"/>
                <w:sz w:val="23"/>
                <w:szCs w:val="23"/>
              </w:rPr>
              <w:t xml:space="preserve">  </w:t>
            </w:r>
            <w:r>
              <w:rPr>
                <w:spacing w:val="4"/>
                <w:sz w:val="23"/>
                <w:szCs w:val="23"/>
              </w:rPr>
              <w:t>共</w:t>
            </w:r>
            <w:r>
              <w:rPr>
                <w:spacing w:val="-31"/>
                <w:sz w:val="23"/>
                <w:szCs w:val="23"/>
              </w:rPr>
              <w:t xml:space="preserve"> </w:t>
            </w:r>
            <w:r>
              <w:rPr>
                <w:spacing w:val="4"/>
                <w:sz w:val="23"/>
                <w:szCs w:val="23"/>
              </w:rPr>
              <w:t>7</w:t>
            </w:r>
            <w:r>
              <w:rPr>
                <w:spacing w:val="-46"/>
                <w:sz w:val="23"/>
                <w:szCs w:val="23"/>
              </w:rPr>
              <w:t xml:space="preserve"> </w:t>
            </w:r>
            <w:r>
              <w:rPr>
                <w:spacing w:val="4"/>
                <w:sz w:val="23"/>
                <w:szCs w:val="23"/>
              </w:rPr>
              <w:t>个，面积</w:t>
            </w:r>
            <w:r>
              <w:rPr>
                <w:spacing w:val="-34"/>
                <w:sz w:val="23"/>
                <w:szCs w:val="23"/>
              </w:rPr>
              <w:t xml:space="preserve"> </w:t>
            </w:r>
            <w:r>
              <w:rPr>
                <w:spacing w:val="4"/>
                <w:sz w:val="23"/>
                <w:szCs w:val="23"/>
              </w:rPr>
              <w:t>24.43</w:t>
            </w:r>
            <w:r>
              <w:rPr>
                <w:spacing w:val="-40"/>
                <w:sz w:val="23"/>
                <w:szCs w:val="23"/>
              </w:rPr>
              <w:t xml:space="preserve"> </w:t>
            </w:r>
            <w:r>
              <w:rPr>
                <w:spacing w:val="4"/>
                <w:sz w:val="23"/>
                <w:szCs w:val="23"/>
              </w:rPr>
              <w:t>平方千米，主要为理县龙胆</w:t>
            </w:r>
            <w:r>
              <w:rPr>
                <w:spacing w:val="7"/>
                <w:sz w:val="23"/>
                <w:szCs w:val="23"/>
              </w:rPr>
              <w:t>沟、黑水县晴朗乡热水塘、若尔盖县降扎、若尔盖县河它、九寨沟南坪、壤塘</w:t>
            </w:r>
            <w:r>
              <w:rPr>
                <w:spacing w:val="8"/>
                <w:sz w:val="23"/>
                <w:szCs w:val="23"/>
              </w:rPr>
              <w:t>壤古、汶川阿尔沟等。</w:t>
            </w:r>
          </w:p>
          <w:p w14:paraId="611CD4FD">
            <w:pPr>
              <w:pStyle w:val="6"/>
              <w:spacing w:before="1" w:line="292" w:lineRule="auto"/>
              <w:ind w:left="127" w:right="99" w:firstLine="482"/>
              <w:rPr>
                <w:sz w:val="23"/>
                <w:szCs w:val="23"/>
              </w:rPr>
            </w:pPr>
            <w:r>
              <w:rPr>
                <w:rFonts w:ascii="Arial" w:hAnsi="Arial" w:eastAsia="Arial" w:cs="Arial"/>
                <w:spacing w:val="2"/>
                <w:sz w:val="23"/>
                <w:szCs w:val="23"/>
              </w:rPr>
              <w:t>2</w:t>
            </w:r>
            <w:r>
              <w:rPr>
                <w:rFonts w:ascii="Arial" w:hAnsi="Arial" w:eastAsia="Arial" w:cs="Arial"/>
                <w:spacing w:val="-9"/>
                <w:sz w:val="23"/>
                <w:szCs w:val="23"/>
              </w:rPr>
              <w:t xml:space="preserve"> </w:t>
            </w:r>
            <w:r>
              <w:rPr>
                <w:rFonts w:ascii="微软雅黑" w:hAnsi="微软雅黑" w:eastAsia="微软雅黑" w:cs="微软雅黑"/>
                <w:spacing w:val="2"/>
                <w:sz w:val="23"/>
                <w:szCs w:val="23"/>
              </w:rPr>
              <w:t>、饰面用花岗岩:</w:t>
            </w:r>
            <w:r>
              <w:rPr>
                <w:rFonts w:ascii="微软雅黑" w:hAnsi="微软雅黑" w:eastAsia="微软雅黑" w:cs="微软雅黑"/>
                <w:spacing w:val="20"/>
                <w:sz w:val="23"/>
                <w:szCs w:val="23"/>
              </w:rPr>
              <w:t xml:space="preserve">  </w:t>
            </w:r>
            <w:r>
              <w:rPr>
                <w:spacing w:val="2"/>
                <w:sz w:val="23"/>
                <w:szCs w:val="23"/>
              </w:rPr>
              <w:t>共</w:t>
            </w:r>
            <w:r>
              <w:rPr>
                <w:spacing w:val="-33"/>
                <w:sz w:val="23"/>
                <w:szCs w:val="23"/>
              </w:rPr>
              <w:t xml:space="preserve"> </w:t>
            </w:r>
            <w:r>
              <w:rPr>
                <w:spacing w:val="2"/>
                <w:sz w:val="23"/>
                <w:szCs w:val="23"/>
              </w:rPr>
              <w:t>1</w:t>
            </w:r>
            <w:r>
              <w:rPr>
                <w:spacing w:val="-46"/>
                <w:sz w:val="23"/>
                <w:szCs w:val="23"/>
              </w:rPr>
              <w:t xml:space="preserve"> </w:t>
            </w:r>
            <w:r>
              <w:rPr>
                <w:spacing w:val="2"/>
                <w:sz w:val="23"/>
                <w:szCs w:val="23"/>
              </w:rPr>
              <w:t>个，面积</w:t>
            </w:r>
            <w:r>
              <w:rPr>
                <w:spacing w:val="-33"/>
                <w:sz w:val="23"/>
                <w:szCs w:val="23"/>
              </w:rPr>
              <w:t xml:space="preserve"> </w:t>
            </w:r>
            <w:r>
              <w:rPr>
                <w:spacing w:val="2"/>
                <w:sz w:val="23"/>
                <w:szCs w:val="23"/>
              </w:rPr>
              <w:t>1.55</w:t>
            </w:r>
            <w:r>
              <w:rPr>
                <w:spacing w:val="-44"/>
                <w:sz w:val="23"/>
                <w:szCs w:val="23"/>
              </w:rPr>
              <w:t xml:space="preserve"> </w:t>
            </w:r>
            <w:r>
              <w:rPr>
                <w:spacing w:val="2"/>
                <w:sz w:val="23"/>
                <w:szCs w:val="23"/>
              </w:rPr>
              <w:t>平方千米，属空白区新设，为四川</w:t>
            </w:r>
            <w:r>
              <w:rPr>
                <w:spacing w:val="8"/>
                <w:sz w:val="23"/>
                <w:szCs w:val="23"/>
              </w:rPr>
              <w:t>省马尔康市果尔巫饰面用花岗岩普查。</w:t>
            </w:r>
          </w:p>
        </w:tc>
      </w:tr>
    </w:tbl>
    <w:p w14:paraId="5AE83AF6">
      <w:pPr>
        <w:pStyle w:val="2"/>
        <w:spacing w:line="387" w:lineRule="auto"/>
      </w:pPr>
    </w:p>
    <w:p w14:paraId="194064F8">
      <w:pPr>
        <w:spacing w:before="101" w:line="225" w:lineRule="auto"/>
        <w:ind w:left="670"/>
        <w:rPr>
          <w:rFonts w:ascii="黑体" w:hAnsi="黑体" w:eastAsia="黑体" w:cs="黑体"/>
          <w:sz w:val="31"/>
          <w:szCs w:val="31"/>
        </w:rPr>
      </w:pPr>
      <w:r>
        <w:rPr>
          <w:rFonts w:ascii="黑体" w:hAnsi="黑体" w:eastAsia="黑体" w:cs="黑体"/>
          <w:spacing w:val="7"/>
          <w:sz w:val="31"/>
          <w:szCs w:val="31"/>
        </w:rPr>
        <w:t>二、矿产资源开采</w:t>
      </w:r>
    </w:p>
    <w:p w14:paraId="1F9B61DB">
      <w:pPr>
        <w:spacing w:before="232" w:line="354" w:lineRule="auto"/>
        <w:ind w:left="27" w:firstLine="643"/>
        <w:jc w:val="both"/>
        <w:rPr>
          <w:rFonts w:ascii="仿宋" w:hAnsi="仿宋" w:eastAsia="仿宋" w:cs="仿宋"/>
          <w:sz w:val="31"/>
          <w:szCs w:val="31"/>
        </w:rPr>
      </w:pPr>
      <w:r>
        <w:rPr>
          <w:rFonts w:ascii="微软雅黑" w:hAnsi="微软雅黑" w:eastAsia="微软雅黑" w:cs="微软雅黑"/>
          <w:spacing w:val="4"/>
          <w:position w:val="1"/>
          <w:sz w:val="31"/>
          <w:szCs w:val="31"/>
        </w:rPr>
        <w:t>重点开采区:</w:t>
      </w:r>
      <w:r>
        <w:rPr>
          <w:rFonts w:ascii="微软雅黑" w:hAnsi="微软雅黑" w:eastAsia="微软雅黑" w:cs="微软雅黑"/>
          <w:spacing w:val="50"/>
          <w:position w:val="1"/>
          <w:sz w:val="31"/>
          <w:szCs w:val="31"/>
        </w:rPr>
        <w:t xml:space="preserve">  </w:t>
      </w:r>
      <w:r>
        <w:rPr>
          <w:rFonts w:ascii="仿宋" w:hAnsi="仿宋" w:eastAsia="仿宋" w:cs="仿宋"/>
          <w:spacing w:val="4"/>
          <w:sz w:val="31"/>
          <w:szCs w:val="31"/>
        </w:rPr>
        <w:t>落实省级规划划定的重点开采区</w:t>
      </w:r>
      <w:r>
        <w:rPr>
          <w:rFonts w:ascii="仿宋" w:hAnsi="仿宋" w:eastAsia="仿宋" w:cs="仿宋"/>
          <w:spacing w:val="-35"/>
          <w:sz w:val="31"/>
          <w:szCs w:val="31"/>
        </w:rPr>
        <w:t xml:space="preserve"> </w:t>
      </w:r>
      <w:r>
        <w:rPr>
          <w:rFonts w:ascii="仿宋" w:hAnsi="仿宋" w:eastAsia="仿宋" w:cs="仿宋"/>
          <w:spacing w:val="4"/>
          <w:sz w:val="31"/>
          <w:szCs w:val="31"/>
        </w:rPr>
        <w:t>1</w:t>
      </w:r>
      <w:r>
        <w:rPr>
          <w:rFonts w:ascii="仿宋" w:hAnsi="仿宋" w:eastAsia="仿宋" w:cs="仿宋"/>
          <w:spacing w:val="-59"/>
          <w:sz w:val="31"/>
          <w:szCs w:val="31"/>
        </w:rPr>
        <w:t xml:space="preserve"> </w:t>
      </w:r>
      <w:r>
        <w:rPr>
          <w:rFonts w:ascii="仿宋" w:hAnsi="仿宋" w:eastAsia="仿宋" w:cs="仿宋"/>
          <w:spacing w:val="4"/>
          <w:sz w:val="31"/>
          <w:szCs w:val="31"/>
        </w:rPr>
        <w:t>个，理</w:t>
      </w:r>
      <w:r>
        <w:rPr>
          <w:rFonts w:ascii="仿宋" w:hAnsi="仿宋" w:eastAsia="仿宋" w:cs="仿宋"/>
          <w:spacing w:val="-1"/>
          <w:sz w:val="31"/>
          <w:szCs w:val="31"/>
        </w:rPr>
        <w:t>清现有采矿权权属、采矿主体股权结构、拟建矿</w:t>
      </w:r>
      <w:r>
        <w:rPr>
          <w:rFonts w:ascii="仿宋" w:hAnsi="仿宋" w:eastAsia="仿宋" w:cs="仿宋"/>
          <w:spacing w:val="-2"/>
          <w:sz w:val="31"/>
          <w:szCs w:val="31"/>
        </w:rPr>
        <w:t>山分布情况、</w:t>
      </w:r>
      <w:r>
        <w:rPr>
          <w:rFonts w:ascii="仿宋" w:hAnsi="仿宋" w:eastAsia="仿宋" w:cs="仿宋"/>
          <w:spacing w:val="9"/>
          <w:sz w:val="31"/>
          <w:szCs w:val="31"/>
        </w:rPr>
        <w:t>资源禀赋、采矿模式及开采规模等，综合运用</w:t>
      </w:r>
      <w:r>
        <w:rPr>
          <w:rFonts w:ascii="仿宋" w:hAnsi="仿宋" w:eastAsia="仿宋" w:cs="仿宋"/>
          <w:spacing w:val="8"/>
          <w:sz w:val="31"/>
          <w:szCs w:val="31"/>
        </w:rPr>
        <w:t>法律、经济等</w:t>
      </w:r>
      <w:r>
        <w:rPr>
          <w:rFonts w:ascii="仿宋" w:hAnsi="仿宋" w:eastAsia="仿宋" w:cs="仿宋"/>
          <w:spacing w:val="9"/>
          <w:sz w:val="31"/>
          <w:szCs w:val="31"/>
        </w:rPr>
        <w:t>手段，依法做好矿产资源开发整合，优化矿山</w:t>
      </w:r>
      <w:r>
        <w:rPr>
          <w:rFonts w:ascii="仿宋" w:hAnsi="仿宋" w:eastAsia="仿宋" w:cs="仿宋"/>
          <w:spacing w:val="8"/>
          <w:sz w:val="31"/>
          <w:szCs w:val="31"/>
        </w:rPr>
        <w:t>布局和产业结</w:t>
      </w:r>
      <w:r>
        <w:rPr>
          <w:rFonts w:ascii="仿宋" w:hAnsi="仿宋" w:eastAsia="仿宋" w:cs="仿宋"/>
          <w:spacing w:val="9"/>
          <w:sz w:val="31"/>
          <w:szCs w:val="31"/>
        </w:rPr>
        <w:t>构，引导资源向大中型现代化矿山企业集聚，</w:t>
      </w:r>
      <w:r>
        <w:rPr>
          <w:rFonts w:ascii="仿宋" w:hAnsi="仿宋" w:eastAsia="仿宋" w:cs="仿宋"/>
          <w:spacing w:val="8"/>
          <w:sz w:val="31"/>
          <w:szCs w:val="31"/>
        </w:rPr>
        <w:t>实现规模开采</w:t>
      </w:r>
      <w:r>
        <w:rPr>
          <w:rFonts w:ascii="仿宋" w:hAnsi="仿宋" w:eastAsia="仿宋" w:cs="仿宋"/>
          <w:spacing w:val="9"/>
          <w:sz w:val="31"/>
          <w:szCs w:val="31"/>
        </w:rPr>
        <w:t>和集约利用，形成一批稳定和科学发展的矿产资源开发基</w:t>
      </w:r>
    </w:p>
    <w:p w14:paraId="026D55D9">
      <w:pPr>
        <w:spacing w:line="354" w:lineRule="auto"/>
        <w:rPr>
          <w:rFonts w:ascii="仿宋" w:hAnsi="仿宋" w:eastAsia="仿宋" w:cs="仿宋"/>
          <w:sz w:val="31"/>
          <w:szCs w:val="31"/>
        </w:rPr>
        <w:sectPr>
          <w:footerReference r:id="rId30" w:type="default"/>
          <w:pgSz w:w="11904" w:h="16835"/>
          <w:pgMar w:top="1430" w:right="1753" w:bottom="1289" w:left="1784" w:header="0" w:footer="920" w:gutter="0"/>
          <w:cols w:space="720" w:num="1"/>
        </w:sectPr>
      </w:pPr>
    </w:p>
    <w:p w14:paraId="0CBE9465">
      <w:pPr>
        <w:spacing w:before="134" w:line="369" w:lineRule="auto"/>
        <w:ind w:left="199" w:right="321" w:hanging="10"/>
        <w:rPr>
          <w:rFonts w:ascii="仿宋" w:hAnsi="仿宋" w:eastAsia="仿宋" w:cs="仿宋"/>
          <w:sz w:val="31"/>
          <w:szCs w:val="31"/>
        </w:rPr>
      </w:pPr>
      <w:r>
        <w:rPr>
          <w:rFonts w:ascii="仿宋" w:hAnsi="仿宋" w:eastAsia="仿宋" w:cs="仿宋"/>
          <w:spacing w:val="9"/>
          <w:sz w:val="31"/>
          <w:szCs w:val="31"/>
        </w:rPr>
        <w:t>地。推动企业重视地方产业联动效应，助推市（县）</w:t>
      </w:r>
      <w:r>
        <w:rPr>
          <w:rFonts w:ascii="仿宋" w:hAnsi="仿宋" w:eastAsia="仿宋" w:cs="仿宋"/>
          <w:spacing w:val="8"/>
          <w:sz w:val="31"/>
          <w:szCs w:val="31"/>
        </w:rPr>
        <w:t>域经济</w:t>
      </w:r>
      <w:r>
        <w:rPr>
          <w:rFonts w:ascii="仿宋" w:hAnsi="仿宋" w:eastAsia="仿宋" w:cs="仿宋"/>
          <w:spacing w:val="7"/>
          <w:sz w:val="31"/>
          <w:szCs w:val="31"/>
        </w:rPr>
        <w:t>和当地贫困群众就业发展。</w:t>
      </w:r>
    </w:p>
    <w:p w14:paraId="0E15C1F4">
      <w:pPr>
        <w:spacing w:before="1" w:line="345" w:lineRule="auto"/>
        <w:ind w:left="196" w:right="321" w:firstLine="633"/>
        <w:jc w:val="both"/>
        <w:rPr>
          <w:rFonts w:ascii="仿宋" w:hAnsi="仿宋" w:eastAsia="仿宋" w:cs="仿宋"/>
          <w:sz w:val="31"/>
          <w:szCs w:val="31"/>
        </w:rPr>
      </w:pPr>
      <w:r>
        <w:rPr>
          <w:rFonts w:ascii="微软雅黑" w:hAnsi="微软雅黑" w:eastAsia="微软雅黑" w:cs="微软雅黑"/>
          <w:spacing w:val="6"/>
          <w:sz w:val="31"/>
          <w:szCs w:val="31"/>
        </w:rPr>
        <w:t>开采规划区块</w:t>
      </w:r>
      <w:r>
        <w:rPr>
          <w:rFonts w:ascii="仿宋" w:hAnsi="仿宋" w:eastAsia="仿宋" w:cs="仿宋"/>
          <w:spacing w:val="6"/>
          <w:sz w:val="31"/>
          <w:szCs w:val="31"/>
        </w:rPr>
        <w:t>：依据现有地质勘查程度，落实</w:t>
      </w:r>
      <w:r>
        <w:rPr>
          <w:rFonts w:ascii="仿宋" w:hAnsi="仿宋" w:eastAsia="仿宋" w:cs="仿宋"/>
          <w:spacing w:val="-39"/>
          <w:sz w:val="31"/>
          <w:szCs w:val="31"/>
        </w:rPr>
        <w:t xml:space="preserve"> </w:t>
      </w:r>
      <w:r>
        <w:rPr>
          <w:rFonts w:ascii="仿宋" w:hAnsi="仿宋" w:eastAsia="仿宋" w:cs="仿宋"/>
          <w:spacing w:val="6"/>
          <w:sz w:val="31"/>
          <w:szCs w:val="31"/>
        </w:rPr>
        <w:t>2</w:t>
      </w:r>
      <w:r>
        <w:rPr>
          <w:rFonts w:ascii="仿宋" w:hAnsi="仿宋" w:eastAsia="仿宋" w:cs="仿宋"/>
          <w:spacing w:val="-59"/>
          <w:sz w:val="31"/>
          <w:szCs w:val="31"/>
        </w:rPr>
        <w:t xml:space="preserve"> </w:t>
      </w:r>
      <w:r>
        <w:rPr>
          <w:rFonts w:ascii="仿宋" w:hAnsi="仿宋" w:eastAsia="仿宋" w:cs="仿宋"/>
          <w:spacing w:val="6"/>
          <w:sz w:val="31"/>
          <w:szCs w:val="31"/>
        </w:rPr>
        <w:t>个省级</w:t>
      </w:r>
      <w:r>
        <w:rPr>
          <w:rFonts w:ascii="仿宋" w:hAnsi="仿宋" w:eastAsia="仿宋" w:cs="仿宋"/>
          <w:spacing w:val="8"/>
          <w:sz w:val="31"/>
          <w:szCs w:val="31"/>
        </w:rPr>
        <w:t>规划划定的开采规划区块，划定州级出让登记矿种开采规划</w:t>
      </w:r>
      <w:r>
        <w:rPr>
          <w:rFonts w:ascii="仿宋" w:hAnsi="仿宋" w:eastAsia="仿宋" w:cs="仿宋"/>
          <w:spacing w:val="6"/>
          <w:sz w:val="31"/>
          <w:szCs w:val="31"/>
        </w:rPr>
        <w:t>区块</w:t>
      </w:r>
      <w:r>
        <w:rPr>
          <w:rFonts w:ascii="仿宋" w:hAnsi="仿宋" w:eastAsia="仿宋" w:cs="仿宋"/>
          <w:spacing w:val="-23"/>
          <w:sz w:val="31"/>
          <w:szCs w:val="31"/>
        </w:rPr>
        <w:t xml:space="preserve"> </w:t>
      </w:r>
      <w:r>
        <w:rPr>
          <w:rFonts w:ascii="仿宋" w:hAnsi="仿宋" w:eastAsia="仿宋" w:cs="仿宋"/>
          <w:spacing w:val="6"/>
          <w:sz w:val="31"/>
          <w:szCs w:val="31"/>
        </w:rPr>
        <w:t>1</w:t>
      </w:r>
      <w:r>
        <w:rPr>
          <w:rFonts w:ascii="仿宋" w:hAnsi="仿宋" w:eastAsia="仿宋" w:cs="仿宋"/>
          <w:spacing w:val="-64"/>
          <w:sz w:val="31"/>
          <w:szCs w:val="31"/>
        </w:rPr>
        <w:t xml:space="preserve"> </w:t>
      </w:r>
      <w:r>
        <w:rPr>
          <w:rFonts w:ascii="仿宋" w:hAnsi="仿宋" w:eastAsia="仿宋" w:cs="仿宋"/>
          <w:spacing w:val="6"/>
          <w:sz w:val="31"/>
          <w:szCs w:val="31"/>
        </w:rPr>
        <w:t>个。县级规划应落实州级规划划定的开采规划区块，作为采矿权设置依据。</w:t>
      </w:r>
    </w:p>
    <w:p w14:paraId="4FCC9AB5">
      <w:pPr>
        <w:spacing w:line="233" w:lineRule="exact"/>
      </w:pPr>
    </w:p>
    <w:tbl>
      <w:tblPr>
        <w:tblStyle w:val="5"/>
        <w:tblW w:w="87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98"/>
      </w:tblGrid>
      <w:tr w14:paraId="587CFC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798" w:type="dxa"/>
            <w:shd w:val="clear" w:color="auto" w:fill="9FD3A4"/>
            <w:vAlign w:val="top"/>
          </w:tcPr>
          <w:p w14:paraId="1F9339D6">
            <w:pPr>
              <w:spacing w:before="149" w:line="223" w:lineRule="auto"/>
              <w:ind w:left="2710"/>
              <w:rPr>
                <w:rFonts w:ascii="黑体" w:hAnsi="黑体" w:eastAsia="黑体" w:cs="黑体"/>
                <w:sz w:val="28"/>
                <w:szCs w:val="28"/>
              </w:rPr>
            </w:pPr>
            <w:r>
              <w:rPr>
                <w:rFonts w:ascii="黑体" w:hAnsi="黑体" w:eastAsia="黑体" w:cs="黑体"/>
                <w:spacing w:val="4"/>
                <w:sz w:val="28"/>
                <w:szCs w:val="28"/>
              </w:rPr>
              <w:t>专栏8</w:t>
            </w:r>
            <w:r>
              <w:rPr>
                <w:rFonts w:ascii="黑体" w:hAnsi="黑体" w:eastAsia="黑体" w:cs="黑体"/>
                <w:spacing w:val="1"/>
                <w:sz w:val="28"/>
                <w:szCs w:val="28"/>
              </w:rPr>
              <w:t xml:space="preserve">   </w:t>
            </w:r>
            <w:r>
              <w:rPr>
                <w:rFonts w:ascii="黑体" w:hAnsi="黑体" w:eastAsia="黑体" w:cs="黑体"/>
                <w:spacing w:val="4"/>
                <w:sz w:val="28"/>
                <w:szCs w:val="28"/>
              </w:rPr>
              <w:t>矿产资源开采规划分区</w:t>
            </w:r>
          </w:p>
        </w:tc>
      </w:tr>
      <w:tr w14:paraId="586A6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12" w:hRule="atLeast"/>
        </w:trPr>
        <w:tc>
          <w:tcPr>
            <w:tcW w:w="8798" w:type="dxa"/>
            <w:vAlign w:val="top"/>
          </w:tcPr>
          <w:p w14:paraId="70881CC3">
            <w:pPr>
              <w:spacing w:before="101" w:line="229" w:lineRule="auto"/>
              <w:ind w:left="135"/>
              <w:rPr>
                <w:rFonts w:ascii="黑体" w:hAnsi="黑体" w:eastAsia="黑体" w:cs="黑体"/>
                <w:sz w:val="23"/>
                <w:szCs w:val="23"/>
              </w:rPr>
            </w:pPr>
            <w:r>
              <w:rPr>
                <w:rFonts w:ascii="黑体" w:hAnsi="黑体" w:eastAsia="黑体" w:cs="黑体"/>
                <w:spacing w:val="8"/>
                <w:sz w:val="23"/>
                <w:szCs w:val="23"/>
              </w:rPr>
              <w:t>一、省级重点开采区（锂矿</w:t>
            </w:r>
            <w:r>
              <w:rPr>
                <w:rFonts w:ascii="黑体" w:hAnsi="黑体" w:eastAsia="黑体" w:cs="黑体"/>
                <w:spacing w:val="4"/>
                <w:sz w:val="23"/>
                <w:szCs w:val="23"/>
              </w:rPr>
              <w:t>）：</w:t>
            </w:r>
          </w:p>
          <w:p w14:paraId="043AC616">
            <w:pPr>
              <w:pStyle w:val="6"/>
              <w:spacing w:before="108" w:line="374" w:lineRule="auto"/>
              <w:ind w:left="137" w:right="152" w:firstLine="491"/>
              <w:rPr>
                <w:sz w:val="23"/>
                <w:szCs w:val="23"/>
              </w:rPr>
            </w:pPr>
            <w:r>
              <w:rPr>
                <w:spacing w:val="8"/>
                <w:sz w:val="23"/>
                <w:szCs w:val="23"/>
              </w:rPr>
              <w:t>阿坝州马尔康-金川可尔因锂矿：涉及马尔康市和金川县，面积约****平方千</w:t>
            </w:r>
            <w:r>
              <w:rPr>
                <w:spacing w:val="7"/>
                <w:sz w:val="23"/>
                <w:szCs w:val="23"/>
              </w:rPr>
              <w:t>米，主要矿种为锂矿。</w:t>
            </w:r>
          </w:p>
          <w:p w14:paraId="27968147">
            <w:pPr>
              <w:spacing w:before="8" w:line="229" w:lineRule="auto"/>
              <w:ind w:left="135"/>
              <w:rPr>
                <w:rFonts w:ascii="黑体" w:hAnsi="黑体" w:eastAsia="黑体" w:cs="黑体"/>
                <w:sz w:val="23"/>
                <w:szCs w:val="23"/>
              </w:rPr>
            </w:pPr>
            <w:r>
              <w:rPr>
                <w:rFonts w:ascii="黑体" w:hAnsi="黑体" w:eastAsia="黑体" w:cs="黑体"/>
                <w:spacing w:val="8"/>
                <w:sz w:val="23"/>
                <w:szCs w:val="23"/>
              </w:rPr>
              <w:t>二、落实省级规划划定的开采规划区块：</w:t>
            </w:r>
          </w:p>
          <w:p w14:paraId="123F3D96">
            <w:pPr>
              <w:pStyle w:val="6"/>
              <w:spacing w:before="101" w:line="195" w:lineRule="auto"/>
              <w:ind w:left="626"/>
              <w:rPr>
                <w:sz w:val="23"/>
                <w:szCs w:val="23"/>
              </w:rPr>
            </w:pPr>
            <w:r>
              <w:rPr>
                <w:rFonts w:ascii="Arial" w:hAnsi="Arial" w:eastAsia="Arial" w:cs="Arial"/>
                <w:spacing w:val="5"/>
                <w:sz w:val="23"/>
                <w:szCs w:val="23"/>
              </w:rPr>
              <w:t>1</w:t>
            </w:r>
            <w:r>
              <w:rPr>
                <w:rFonts w:ascii="Arial" w:hAnsi="Arial" w:eastAsia="Arial" w:cs="Arial"/>
                <w:spacing w:val="-26"/>
                <w:sz w:val="23"/>
                <w:szCs w:val="23"/>
              </w:rPr>
              <w:t xml:space="preserve"> </w:t>
            </w:r>
            <w:r>
              <w:rPr>
                <w:rFonts w:ascii="微软雅黑" w:hAnsi="微软雅黑" w:eastAsia="微软雅黑" w:cs="微软雅黑"/>
                <w:spacing w:val="5"/>
                <w:sz w:val="23"/>
                <w:szCs w:val="23"/>
              </w:rPr>
              <w:t xml:space="preserve">、铁矿:  </w:t>
            </w:r>
            <w:r>
              <w:rPr>
                <w:spacing w:val="5"/>
                <w:sz w:val="23"/>
                <w:szCs w:val="23"/>
              </w:rPr>
              <w:t>为四川省汶川县毛岭-羊龙山铁矿，面积8.59</w:t>
            </w:r>
            <w:r>
              <w:rPr>
                <w:spacing w:val="-49"/>
                <w:sz w:val="23"/>
                <w:szCs w:val="23"/>
              </w:rPr>
              <w:t xml:space="preserve"> </w:t>
            </w:r>
            <w:r>
              <w:rPr>
                <w:spacing w:val="5"/>
                <w:sz w:val="23"/>
                <w:szCs w:val="23"/>
              </w:rPr>
              <w:t>平方千米，为探转采。</w:t>
            </w:r>
          </w:p>
          <w:p w14:paraId="23430BE8">
            <w:pPr>
              <w:pStyle w:val="6"/>
              <w:spacing w:before="150" w:line="190" w:lineRule="auto"/>
              <w:ind w:left="620"/>
              <w:rPr>
                <w:sz w:val="23"/>
                <w:szCs w:val="23"/>
              </w:rPr>
            </w:pPr>
            <w:r>
              <w:rPr>
                <w:rFonts w:ascii="Arial" w:hAnsi="Arial" w:eastAsia="Arial" w:cs="Arial"/>
                <w:spacing w:val="6"/>
                <w:position w:val="1"/>
                <w:sz w:val="23"/>
                <w:szCs w:val="23"/>
              </w:rPr>
              <w:t>2</w:t>
            </w:r>
            <w:r>
              <w:rPr>
                <w:rFonts w:ascii="Arial" w:hAnsi="Arial" w:eastAsia="Arial" w:cs="Arial"/>
                <w:spacing w:val="-29"/>
                <w:position w:val="1"/>
                <w:sz w:val="23"/>
                <w:szCs w:val="23"/>
              </w:rPr>
              <w:t xml:space="preserve"> </w:t>
            </w:r>
            <w:r>
              <w:rPr>
                <w:rFonts w:ascii="微软雅黑" w:hAnsi="微软雅黑" w:eastAsia="微软雅黑" w:cs="微软雅黑"/>
                <w:spacing w:val="6"/>
                <w:position w:val="1"/>
                <w:sz w:val="23"/>
                <w:szCs w:val="23"/>
              </w:rPr>
              <w:t>、钨矿:</w:t>
            </w:r>
            <w:r>
              <w:rPr>
                <w:rFonts w:ascii="微软雅黑" w:hAnsi="微软雅黑" w:eastAsia="微软雅黑" w:cs="微软雅黑"/>
                <w:spacing w:val="29"/>
                <w:position w:val="1"/>
                <w:sz w:val="23"/>
                <w:szCs w:val="23"/>
              </w:rPr>
              <w:t xml:space="preserve">  </w:t>
            </w:r>
            <w:r>
              <w:rPr>
                <w:spacing w:val="6"/>
                <w:sz w:val="23"/>
                <w:szCs w:val="23"/>
              </w:rPr>
              <w:t>为小金县抚边乡小草坝钨钼矿，面积</w:t>
            </w:r>
            <w:r>
              <w:rPr>
                <w:spacing w:val="-38"/>
                <w:sz w:val="23"/>
                <w:szCs w:val="23"/>
              </w:rPr>
              <w:t xml:space="preserve"> </w:t>
            </w:r>
            <w:r>
              <w:rPr>
                <w:spacing w:val="6"/>
                <w:sz w:val="23"/>
                <w:szCs w:val="23"/>
              </w:rPr>
              <w:t>22</w:t>
            </w:r>
            <w:r>
              <w:rPr>
                <w:spacing w:val="5"/>
                <w:sz w:val="23"/>
                <w:szCs w:val="23"/>
              </w:rPr>
              <w:t>.96</w:t>
            </w:r>
            <w:r>
              <w:rPr>
                <w:spacing w:val="-40"/>
                <w:sz w:val="23"/>
                <w:szCs w:val="23"/>
              </w:rPr>
              <w:t xml:space="preserve"> </w:t>
            </w:r>
            <w:r>
              <w:rPr>
                <w:spacing w:val="5"/>
                <w:sz w:val="23"/>
                <w:szCs w:val="23"/>
              </w:rPr>
              <w:t>平方千米，为探转采。</w:t>
            </w:r>
          </w:p>
          <w:p w14:paraId="37944C13">
            <w:pPr>
              <w:spacing w:before="164" w:line="229" w:lineRule="auto"/>
              <w:ind w:left="136"/>
              <w:rPr>
                <w:rFonts w:ascii="黑体" w:hAnsi="黑体" w:eastAsia="黑体" w:cs="黑体"/>
                <w:sz w:val="23"/>
                <w:szCs w:val="23"/>
              </w:rPr>
            </w:pPr>
            <w:r>
              <w:rPr>
                <w:rFonts w:ascii="黑体" w:hAnsi="黑体" w:eastAsia="黑体" w:cs="黑体"/>
                <w:spacing w:val="8"/>
                <w:sz w:val="23"/>
                <w:szCs w:val="23"/>
              </w:rPr>
              <w:t>三、划定州级出让登记矿种开采规划区块：</w:t>
            </w:r>
          </w:p>
          <w:p w14:paraId="2054A237">
            <w:pPr>
              <w:pStyle w:val="6"/>
              <w:spacing w:before="103" w:line="292" w:lineRule="auto"/>
              <w:ind w:left="137" w:right="157" w:firstLine="475"/>
              <w:rPr>
                <w:sz w:val="23"/>
                <w:szCs w:val="23"/>
              </w:rPr>
            </w:pPr>
            <w:r>
              <w:rPr>
                <w:rFonts w:ascii="微软雅黑" w:hAnsi="微软雅黑" w:eastAsia="微软雅黑" w:cs="微软雅黑"/>
                <w:spacing w:val="9"/>
                <w:position w:val="1"/>
                <w:sz w:val="23"/>
                <w:szCs w:val="23"/>
              </w:rPr>
              <w:t>矿泉水:</w:t>
            </w:r>
            <w:r>
              <w:rPr>
                <w:rFonts w:ascii="微软雅黑" w:hAnsi="微软雅黑" w:eastAsia="微软雅黑" w:cs="微软雅黑"/>
                <w:spacing w:val="32"/>
                <w:w w:val="101"/>
                <w:position w:val="1"/>
                <w:sz w:val="23"/>
                <w:szCs w:val="23"/>
              </w:rPr>
              <w:t xml:space="preserve">  </w:t>
            </w:r>
            <w:r>
              <w:rPr>
                <w:spacing w:val="9"/>
                <w:sz w:val="23"/>
                <w:szCs w:val="23"/>
              </w:rPr>
              <w:t>为四川省茂县吉鱼理疗天然矿泉水拟设开采区块，面积</w:t>
            </w:r>
            <w:r>
              <w:rPr>
                <w:spacing w:val="-27"/>
                <w:sz w:val="23"/>
                <w:szCs w:val="23"/>
              </w:rPr>
              <w:t xml:space="preserve"> </w:t>
            </w:r>
            <w:r>
              <w:rPr>
                <w:spacing w:val="9"/>
                <w:sz w:val="23"/>
                <w:szCs w:val="23"/>
              </w:rPr>
              <w:t>0.06平方千</w:t>
            </w:r>
            <w:r>
              <w:rPr>
                <w:spacing w:val="4"/>
                <w:sz w:val="23"/>
                <w:szCs w:val="23"/>
              </w:rPr>
              <w:t>米，允许日开采量</w:t>
            </w:r>
            <w:r>
              <w:rPr>
                <w:spacing w:val="-27"/>
                <w:sz w:val="23"/>
                <w:szCs w:val="23"/>
              </w:rPr>
              <w:t xml:space="preserve"> </w:t>
            </w:r>
            <w:r>
              <w:rPr>
                <w:spacing w:val="4"/>
                <w:sz w:val="23"/>
                <w:szCs w:val="23"/>
              </w:rPr>
              <w:t>373.93</w:t>
            </w:r>
            <w:r>
              <w:rPr>
                <w:spacing w:val="-33"/>
                <w:sz w:val="23"/>
                <w:szCs w:val="23"/>
              </w:rPr>
              <w:t xml:space="preserve"> </w:t>
            </w:r>
            <w:r>
              <w:rPr>
                <w:spacing w:val="4"/>
                <w:sz w:val="23"/>
                <w:szCs w:val="23"/>
              </w:rPr>
              <w:t>立方米。</w:t>
            </w:r>
          </w:p>
        </w:tc>
      </w:tr>
    </w:tbl>
    <w:p w14:paraId="11963083">
      <w:pPr>
        <w:pStyle w:val="2"/>
        <w:spacing w:line="388" w:lineRule="auto"/>
      </w:pPr>
    </w:p>
    <w:p w14:paraId="4012A5F2">
      <w:pPr>
        <w:spacing w:before="101" w:line="372" w:lineRule="auto"/>
        <w:ind w:left="197" w:right="321" w:firstLine="636"/>
        <w:jc w:val="both"/>
        <w:rPr>
          <w:rFonts w:ascii="仿宋" w:hAnsi="仿宋" w:eastAsia="仿宋" w:cs="仿宋"/>
          <w:sz w:val="31"/>
          <w:szCs w:val="31"/>
        </w:rPr>
      </w:pPr>
      <w:r>
        <w:rPr>
          <w:rFonts w:ascii="仿宋" w:hAnsi="仿宋" w:eastAsia="仿宋" w:cs="仿宋"/>
          <w:spacing w:val="22"/>
          <w:sz w:val="31"/>
          <w:szCs w:val="31"/>
        </w:rPr>
        <w:t>在符合州级级规划矿山数量和开采总量等控制指标的</w:t>
      </w:r>
      <w:r>
        <w:rPr>
          <w:rFonts w:ascii="仿宋" w:hAnsi="仿宋" w:eastAsia="仿宋" w:cs="仿宋"/>
          <w:spacing w:val="8"/>
          <w:sz w:val="31"/>
          <w:szCs w:val="31"/>
        </w:rPr>
        <w:t>前提下，各县自行划定本级审批发证矿种的勘查开采规划区块和砂石土集中开采区，跨县级行政区的勘查开采规划区块</w:t>
      </w:r>
      <w:bookmarkStart w:id="25" w:name="bookmark17"/>
      <w:bookmarkEnd w:id="25"/>
      <w:r>
        <w:rPr>
          <w:rFonts w:ascii="仿宋" w:hAnsi="仿宋" w:eastAsia="仿宋" w:cs="仿宋"/>
          <w:spacing w:val="8"/>
          <w:sz w:val="31"/>
          <w:szCs w:val="31"/>
        </w:rPr>
        <w:t>和砂石土集中开采区的划定由州自然资源主管部门划定。</w:t>
      </w:r>
    </w:p>
    <w:p w14:paraId="02042595">
      <w:pPr>
        <w:spacing w:before="267" w:line="321" w:lineRule="exact"/>
        <w:ind w:left="2852"/>
        <w:outlineLvl w:val="0"/>
        <w:rPr>
          <w:rFonts w:ascii="微软雅黑" w:hAnsi="微软雅黑" w:eastAsia="微软雅黑" w:cs="微软雅黑"/>
          <w:sz w:val="30"/>
          <w:szCs w:val="30"/>
        </w:rPr>
      </w:pPr>
      <w:bookmarkStart w:id="26" w:name="bookmark38"/>
      <w:bookmarkEnd w:id="26"/>
      <w:r>
        <w:rPr>
          <w:rFonts w:ascii="微软雅黑" w:hAnsi="微软雅黑" w:eastAsia="微软雅黑" w:cs="微软雅黑"/>
          <w:spacing w:val="10"/>
          <w:position w:val="-1"/>
          <w:sz w:val="30"/>
          <w:szCs w:val="30"/>
        </w:rPr>
        <w:t>第六节  严格规划准入管理</w:t>
      </w:r>
    </w:p>
    <w:p w14:paraId="12BF2F13">
      <w:pPr>
        <w:pStyle w:val="2"/>
        <w:spacing w:line="242" w:lineRule="auto"/>
      </w:pPr>
    </w:p>
    <w:p w14:paraId="0C741DC3">
      <w:pPr>
        <w:pStyle w:val="2"/>
        <w:spacing w:line="243" w:lineRule="auto"/>
      </w:pPr>
    </w:p>
    <w:p w14:paraId="717A144E">
      <w:pPr>
        <w:spacing w:before="101" w:line="347" w:lineRule="auto"/>
        <w:ind w:left="203" w:right="321" w:firstLine="621"/>
        <w:rPr>
          <w:rFonts w:ascii="仿宋" w:hAnsi="仿宋" w:eastAsia="仿宋" w:cs="仿宋"/>
          <w:sz w:val="31"/>
          <w:szCs w:val="31"/>
        </w:rPr>
      </w:pPr>
      <w:r>
        <w:rPr>
          <w:rFonts w:ascii="仿宋" w:hAnsi="仿宋" w:eastAsia="仿宋" w:cs="仿宋"/>
          <w:spacing w:val="9"/>
          <w:sz w:val="31"/>
          <w:szCs w:val="31"/>
        </w:rPr>
        <w:t>严格按照国家矿业权出让规定出让采矿权，保护正当合</w:t>
      </w:r>
      <w:r>
        <w:rPr>
          <w:rFonts w:ascii="仿宋" w:hAnsi="仿宋" w:eastAsia="仿宋" w:cs="仿宋"/>
          <w:spacing w:val="8"/>
          <w:sz w:val="31"/>
          <w:szCs w:val="31"/>
        </w:rPr>
        <w:t>法竞争。参与采矿权交易活动的市场主体，应具有相应资质</w:t>
      </w:r>
    </w:p>
    <w:p w14:paraId="19F89DDD">
      <w:pPr>
        <w:spacing w:line="347" w:lineRule="auto"/>
        <w:rPr>
          <w:rFonts w:ascii="仿宋" w:hAnsi="仿宋" w:eastAsia="仿宋" w:cs="仿宋"/>
          <w:sz w:val="31"/>
          <w:szCs w:val="31"/>
        </w:rPr>
        <w:sectPr>
          <w:footerReference r:id="rId31" w:type="default"/>
          <w:pgSz w:w="11904" w:h="16835"/>
          <w:pgMar w:top="1430" w:right="1480" w:bottom="1289" w:left="1619" w:header="0" w:footer="923" w:gutter="0"/>
          <w:cols w:space="720" w:num="1"/>
        </w:sectPr>
      </w:pPr>
    </w:p>
    <w:p w14:paraId="59AA6CA1">
      <w:pPr>
        <w:spacing w:before="137" w:line="369" w:lineRule="auto"/>
        <w:ind w:left="39" w:right="16" w:hanging="3"/>
        <w:jc w:val="both"/>
        <w:rPr>
          <w:rFonts w:ascii="仿宋" w:hAnsi="仿宋" w:eastAsia="仿宋" w:cs="仿宋"/>
          <w:sz w:val="31"/>
          <w:szCs w:val="31"/>
        </w:rPr>
      </w:pPr>
      <w:r>
        <w:rPr>
          <w:rFonts w:ascii="仿宋" w:hAnsi="仿宋" w:eastAsia="仿宋" w:cs="仿宋"/>
          <w:spacing w:val="8"/>
          <w:sz w:val="31"/>
          <w:szCs w:val="31"/>
        </w:rPr>
        <w:t>并符合相关条件，严格限制有违法违规违纪行为或失信记录的采矿权申请人参与交易活动。外商投资企业遵循《外商投</w:t>
      </w:r>
      <w:r>
        <w:rPr>
          <w:rFonts w:ascii="仿宋" w:hAnsi="仿宋" w:eastAsia="仿宋" w:cs="仿宋"/>
          <w:spacing w:val="7"/>
          <w:sz w:val="31"/>
          <w:szCs w:val="31"/>
        </w:rPr>
        <w:t>资产业指导目录》从事相应采选活动。</w:t>
      </w:r>
    </w:p>
    <w:p w14:paraId="55C12593">
      <w:pPr>
        <w:pStyle w:val="2"/>
        <w:spacing w:before="4" w:line="345" w:lineRule="auto"/>
        <w:ind w:left="26" w:right="16" w:firstLine="637"/>
        <w:jc w:val="both"/>
        <w:rPr>
          <w:rFonts w:ascii="仿宋" w:hAnsi="仿宋" w:eastAsia="仿宋" w:cs="仿宋"/>
          <w:sz w:val="31"/>
          <w:szCs w:val="31"/>
        </w:rPr>
      </w:pPr>
      <w:r>
        <w:rPr>
          <w:rFonts w:ascii="微软雅黑" w:hAnsi="微软雅黑" w:eastAsia="微软雅黑" w:cs="微软雅黑"/>
          <w:spacing w:val="8"/>
          <w:position w:val="1"/>
          <w:sz w:val="31"/>
          <w:szCs w:val="31"/>
        </w:rPr>
        <w:t>开采规模准入</w:t>
      </w:r>
      <w:r>
        <w:rPr>
          <w:spacing w:val="8"/>
          <w:position w:val="1"/>
          <w:sz w:val="31"/>
          <w:szCs w:val="31"/>
        </w:rPr>
        <w:t>.</w:t>
      </w:r>
      <w:r>
        <w:rPr>
          <w:spacing w:val="33"/>
          <w:position w:val="1"/>
          <w:sz w:val="31"/>
          <w:szCs w:val="31"/>
        </w:rPr>
        <w:t xml:space="preserve">  </w:t>
      </w:r>
      <w:r>
        <w:rPr>
          <w:rFonts w:ascii="仿宋" w:hAnsi="仿宋" w:eastAsia="仿宋" w:cs="仿宋"/>
          <w:spacing w:val="8"/>
          <w:sz w:val="31"/>
          <w:szCs w:val="31"/>
        </w:rPr>
        <w:t>严格执行开采规模准入标准。新建矿山</w:t>
      </w:r>
      <w:r>
        <w:rPr>
          <w:rFonts w:ascii="仿宋" w:hAnsi="仿宋" w:eastAsia="仿宋" w:cs="仿宋"/>
          <w:spacing w:val="9"/>
          <w:sz w:val="31"/>
          <w:szCs w:val="31"/>
        </w:rPr>
        <w:t>应在达到最低生产建设规模要求的基础上，规</w:t>
      </w:r>
      <w:r>
        <w:rPr>
          <w:rFonts w:ascii="仿宋" w:hAnsi="仿宋" w:eastAsia="仿宋" w:cs="仿宋"/>
          <w:spacing w:val="8"/>
          <w:sz w:val="31"/>
          <w:szCs w:val="31"/>
        </w:rPr>
        <w:t>模开采、集约</w:t>
      </w:r>
      <w:r>
        <w:rPr>
          <w:rFonts w:ascii="仿宋" w:hAnsi="仿宋" w:eastAsia="仿宋" w:cs="仿宋"/>
          <w:spacing w:val="9"/>
          <w:sz w:val="31"/>
          <w:szCs w:val="31"/>
        </w:rPr>
        <w:t>节约开发。最低生产建设规模参照省级规划设</w:t>
      </w:r>
      <w:r>
        <w:rPr>
          <w:rFonts w:ascii="仿宋" w:hAnsi="仿宋" w:eastAsia="仿宋" w:cs="仿宋"/>
          <w:spacing w:val="8"/>
          <w:sz w:val="31"/>
          <w:szCs w:val="31"/>
        </w:rPr>
        <w:t>定矿山最低开采规模执行，且服务年限与资源储量规模相适应。</w:t>
      </w:r>
    </w:p>
    <w:p w14:paraId="2C10F10A">
      <w:pPr>
        <w:spacing w:before="107" w:line="351" w:lineRule="auto"/>
        <w:ind w:left="26" w:right="16" w:firstLine="637"/>
        <w:rPr>
          <w:rFonts w:ascii="仿宋" w:hAnsi="仿宋" w:eastAsia="仿宋" w:cs="仿宋"/>
          <w:sz w:val="31"/>
          <w:szCs w:val="31"/>
        </w:rPr>
      </w:pPr>
      <w:r>
        <w:rPr>
          <w:rFonts w:ascii="微软雅黑" w:hAnsi="微软雅黑" w:eastAsia="微软雅黑" w:cs="微软雅黑"/>
          <w:spacing w:val="10"/>
          <w:position w:val="1"/>
          <w:sz w:val="31"/>
          <w:szCs w:val="31"/>
        </w:rPr>
        <w:t xml:space="preserve">开发利用技术准入.  </w:t>
      </w:r>
      <w:r>
        <w:rPr>
          <w:rFonts w:ascii="仿宋" w:hAnsi="仿宋" w:eastAsia="仿宋" w:cs="仿宋"/>
          <w:spacing w:val="10"/>
          <w:sz w:val="31"/>
          <w:szCs w:val="31"/>
        </w:rPr>
        <w:t>禁止采富弃贫、采</w:t>
      </w:r>
      <w:r>
        <w:rPr>
          <w:rFonts w:ascii="仿宋" w:hAnsi="仿宋" w:eastAsia="仿宋" w:cs="仿宋"/>
          <w:spacing w:val="9"/>
          <w:sz w:val="31"/>
          <w:szCs w:val="31"/>
        </w:rPr>
        <w:t>易弃难、优矿劣用等浪费资源行为。对照《矿产资源节约与综</w:t>
      </w:r>
      <w:r>
        <w:rPr>
          <w:rFonts w:ascii="仿宋" w:hAnsi="仿宋" w:eastAsia="仿宋" w:cs="仿宋"/>
          <w:spacing w:val="8"/>
          <w:sz w:val="31"/>
          <w:szCs w:val="31"/>
        </w:rPr>
        <w:t>合利用鼓励、</w:t>
      </w:r>
      <w:r>
        <w:rPr>
          <w:rFonts w:ascii="仿宋" w:hAnsi="仿宋" w:eastAsia="仿宋" w:cs="仿宋"/>
          <w:spacing w:val="9"/>
          <w:sz w:val="31"/>
          <w:szCs w:val="31"/>
        </w:rPr>
        <w:t>限制和淘汰技术目录（修订稿）》，禁止采用</w:t>
      </w:r>
      <w:r>
        <w:rPr>
          <w:rFonts w:ascii="仿宋" w:hAnsi="仿宋" w:eastAsia="仿宋" w:cs="仿宋"/>
          <w:spacing w:val="8"/>
          <w:sz w:val="31"/>
          <w:szCs w:val="31"/>
        </w:rPr>
        <w:t>落后淘汰、破</w:t>
      </w:r>
      <w:r>
        <w:rPr>
          <w:rFonts w:ascii="仿宋" w:hAnsi="仿宋" w:eastAsia="仿宋" w:cs="仿宋"/>
          <w:spacing w:val="9"/>
          <w:sz w:val="31"/>
          <w:szCs w:val="31"/>
        </w:rPr>
        <w:t>坏和浪费资源、资源利用效率低下的开采和选</w:t>
      </w:r>
      <w:r>
        <w:rPr>
          <w:rFonts w:ascii="仿宋" w:hAnsi="仿宋" w:eastAsia="仿宋" w:cs="仿宋"/>
          <w:spacing w:val="8"/>
          <w:sz w:val="31"/>
          <w:szCs w:val="31"/>
        </w:rPr>
        <w:t>矿技术。矿山企业应加大科技创新资金投入，开展科技创新和技术革新。</w:t>
      </w:r>
    </w:p>
    <w:p w14:paraId="05E39E51">
      <w:pPr>
        <w:spacing w:before="102" w:line="353" w:lineRule="auto"/>
        <w:ind w:left="23" w:right="16" w:firstLine="638"/>
        <w:jc w:val="both"/>
        <w:rPr>
          <w:rFonts w:ascii="仿宋" w:hAnsi="仿宋" w:eastAsia="仿宋" w:cs="仿宋"/>
          <w:sz w:val="31"/>
          <w:szCs w:val="31"/>
        </w:rPr>
      </w:pPr>
      <w:r>
        <w:rPr>
          <w:rFonts w:ascii="微软雅黑" w:hAnsi="微软雅黑" w:eastAsia="微软雅黑" w:cs="微软雅黑"/>
          <w:spacing w:val="7"/>
          <w:position w:val="1"/>
          <w:sz w:val="31"/>
          <w:szCs w:val="31"/>
        </w:rPr>
        <w:t>安全生产准入</w:t>
      </w:r>
      <w:r>
        <w:rPr>
          <w:rFonts w:ascii="微软雅黑" w:hAnsi="微软雅黑" w:eastAsia="微软雅黑" w:cs="微软雅黑"/>
          <w:spacing w:val="-44"/>
          <w:position w:val="1"/>
          <w:sz w:val="31"/>
          <w:szCs w:val="31"/>
        </w:rPr>
        <w:t xml:space="preserve"> </w:t>
      </w:r>
      <w:r>
        <w:rPr>
          <w:sz w:val="31"/>
          <w:szCs w:val="31"/>
        </w:rPr>
        <w:drawing>
          <wp:inline distT="0" distB="0" distL="0" distR="0">
            <wp:extent cx="45720" cy="4318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9"/>
                    <a:stretch>
                      <a:fillRect/>
                    </a:stretch>
                  </pic:blipFill>
                  <pic:spPr>
                    <a:xfrm>
                      <a:off x="0" y="0"/>
                      <a:ext cx="46288" cy="43782"/>
                    </a:xfrm>
                    <a:prstGeom prst="rect">
                      <a:avLst/>
                    </a:prstGeom>
                  </pic:spPr>
                </pic:pic>
              </a:graphicData>
            </a:graphic>
          </wp:inline>
        </w:drawing>
      </w:r>
      <w:r>
        <w:rPr>
          <w:rFonts w:ascii="微软雅黑" w:hAnsi="微软雅黑" w:eastAsia="微软雅黑" w:cs="微软雅黑"/>
          <w:spacing w:val="26"/>
          <w:position w:val="1"/>
          <w:sz w:val="31"/>
          <w:szCs w:val="31"/>
        </w:rPr>
        <w:t xml:space="preserve">  </w:t>
      </w:r>
      <w:r>
        <w:rPr>
          <w:rFonts w:ascii="仿宋" w:hAnsi="仿宋" w:eastAsia="仿宋" w:cs="仿宋"/>
          <w:spacing w:val="7"/>
          <w:sz w:val="31"/>
          <w:szCs w:val="31"/>
        </w:rPr>
        <w:t>新建、扩建和改建的矿山，采用的开采</w:t>
      </w:r>
      <w:r>
        <w:rPr>
          <w:rFonts w:ascii="仿宋" w:hAnsi="仿宋" w:eastAsia="仿宋" w:cs="仿宋"/>
          <w:spacing w:val="9"/>
          <w:sz w:val="31"/>
          <w:szCs w:val="31"/>
        </w:rPr>
        <w:t>方式、生产工艺必须符合国家和省现行的有关法律、</w:t>
      </w:r>
      <w:r>
        <w:rPr>
          <w:rFonts w:ascii="仿宋" w:hAnsi="仿宋" w:eastAsia="仿宋" w:cs="仿宋"/>
          <w:spacing w:val="8"/>
          <w:sz w:val="31"/>
          <w:szCs w:val="31"/>
        </w:rPr>
        <w:t>法规和</w:t>
      </w:r>
      <w:r>
        <w:rPr>
          <w:rFonts w:ascii="仿宋" w:hAnsi="仿宋" w:eastAsia="仿宋" w:cs="仿宋"/>
          <w:spacing w:val="5"/>
          <w:sz w:val="31"/>
          <w:szCs w:val="31"/>
        </w:rPr>
        <w:t>标准。必须严格履行建设项目安全设施</w:t>
      </w:r>
      <w:r>
        <w:rPr>
          <w:rFonts w:ascii="仿宋" w:hAnsi="仿宋" w:eastAsia="仿宋" w:cs="仿宋"/>
          <w:spacing w:val="-95"/>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三同时”和职业卫生</w:t>
      </w:r>
      <w:r>
        <w:rPr>
          <w:rFonts w:ascii="仿宋" w:hAnsi="仿宋" w:eastAsia="仿宋" w:cs="仿宋"/>
          <w:spacing w:val="-95"/>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三同时”，安全设施设计未经安全监管部门审查同意，</w:t>
      </w:r>
      <w:r>
        <w:rPr>
          <w:rFonts w:ascii="仿宋" w:hAnsi="仿宋" w:eastAsia="仿宋" w:cs="仿宋"/>
          <w:spacing w:val="9"/>
          <w:sz w:val="31"/>
          <w:szCs w:val="31"/>
        </w:rPr>
        <w:t>不得进行开工建设，安全设施未经竣工验收合格，不</w:t>
      </w:r>
      <w:r>
        <w:rPr>
          <w:rFonts w:ascii="仿宋" w:hAnsi="仿宋" w:eastAsia="仿宋" w:cs="仿宋"/>
          <w:spacing w:val="8"/>
          <w:sz w:val="31"/>
          <w:szCs w:val="31"/>
        </w:rPr>
        <w:t>得投入</w:t>
      </w:r>
      <w:r>
        <w:rPr>
          <w:rFonts w:ascii="仿宋" w:hAnsi="仿宋" w:eastAsia="仿宋" w:cs="仿宋"/>
          <w:spacing w:val="5"/>
          <w:sz w:val="31"/>
          <w:szCs w:val="31"/>
        </w:rPr>
        <w:t>生产使用。</w:t>
      </w:r>
    </w:p>
    <w:p w14:paraId="2E23B5EE">
      <w:pPr>
        <w:spacing w:before="2" w:line="345" w:lineRule="auto"/>
        <w:ind w:left="26" w:right="16" w:firstLine="629"/>
        <w:jc w:val="both"/>
        <w:rPr>
          <w:rFonts w:ascii="仿宋" w:hAnsi="仿宋" w:eastAsia="仿宋" w:cs="仿宋"/>
          <w:sz w:val="31"/>
          <w:szCs w:val="31"/>
        </w:rPr>
      </w:pPr>
      <w:r>
        <w:rPr>
          <w:rFonts w:ascii="微软雅黑" w:hAnsi="微软雅黑" w:eastAsia="微软雅黑" w:cs="微软雅黑"/>
          <w:spacing w:val="10"/>
          <w:position w:val="1"/>
          <w:sz w:val="31"/>
          <w:szCs w:val="31"/>
        </w:rPr>
        <w:t xml:space="preserve">环境保护准入.  </w:t>
      </w:r>
      <w:r>
        <w:rPr>
          <w:rFonts w:ascii="仿宋" w:hAnsi="仿宋" w:eastAsia="仿宋" w:cs="仿宋"/>
          <w:spacing w:val="10"/>
          <w:sz w:val="31"/>
          <w:szCs w:val="31"/>
        </w:rPr>
        <w:t>严格落实环境保护准入。矿山开发项目</w:t>
      </w:r>
      <w:r>
        <w:rPr>
          <w:rFonts w:ascii="仿宋" w:hAnsi="仿宋" w:eastAsia="仿宋" w:cs="仿宋"/>
          <w:spacing w:val="5"/>
          <w:sz w:val="31"/>
          <w:szCs w:val="31"/>
        </w:rPr>
        <w:t>应符合所在规划区域的环境承载力要求，矿山</w:t>
      </w:r>
      <w:r>
        <w:rPr>
          <w:rFonts w:ascii="仿宋" w:hAnsi="仿宋" w:eastAsia="仿宋" w:cs="仿宋"/>
          <w:spacing w:val="-97"/>
          <w:sz w:val="31"/>
          <w:szCs w:val="31"/>
        </w:rPr>
        <w:t xml:space="preserve"> </w:t>
      </w:r>
      <w:r>
        <w:rPr>
          <w:rFonts w:ascii="仿宋" w:hAnsi="仿宋" w:eastAsia="仿宋" w:cs="仿宋"/>
          <w:spacing w:val="5"/>
          <w:sz w:val="31"/>
          <w:szCs w:val="31"/>
        </w:rPr>
        <w:t>“</w:t>
      </w:r>
      <w:r>
        <w:rPr>
          <w:rFonts w:ascii="仿宋" w:hAnsi="仿宋" w:eastAsia="仿宋" w:cs="仿宋"/>
          <w:spacing w:val="-115"/>
          <w:sz w:val="31"/>
          <w:szCs w:val="31"/>
        </w:rPr>
        <w:t xml:space="preserve"> </w:t>
      </w:r>
      <w:r>
        <w:rPr>
          <w:rFonts w:ascii="仿宋" w:hAnsi="仿宋" w:eastAsia="仿宋" w:cs="仿宋"/>
          <w:spacing w:val="5"/>
          <w:sz w:val="31"/>
          <w:szCs w:val="31"/>
        </w:rPr>
        <w:t>三废”必须</w:t>
      </w:r>
      <w:r>
        <w:rPr>
          <w:rFonts w:ascii="仿宋" w:hAnsi="仿宋" w:eastAsia="仿宋" w:cs="仿宋"/>
          <w:spacing w:val="9"/>
          <w:sz w:val="31"/>
          <w:szCs w:val="31"/>
        </w:rPr>
        <w:t>达标排放，降低环境容量消减强度。矿山企业</w:t>
      </w:r>
      <w:r>
        <w:rPr>
          <w:rFonts w:ascii="仿宋" w:hAnsi="仿宋" w:eastAsia="仿宋" w:cs="仿宋"/>
          <w:spacing w:val="8"/>
          <w:sz w:val="31"/>
          <w:szCs w:val="31"/>
        </w:rPr>
        <w:t>应有环境影响评估和风险防范管理制度及能力，能有效防控新的污染源。</w:t>
      </w:r>
    </w:p>
    <w:p w14:paraId="41EAD242">
      <w:pPr>
        <w:spacing w:line="345" w:lineRule="auto"/>
        <w:rPr>
          <w:rFonts w:ascii="仿宋" w:hAnsi="仿宋" w:eastAsia="仿宋" w:cs="仿宋"/>
          <w:sz w:val="31"/>
          <w:szCs w:val="31"/>
        </w:rPr>
        <w:sectPr>
          <w:footerReference r:id="rId32" w:type="default"/>
          <w:pgSz w:w="11904" w:h="16835"/>
          <w:pgMar w:top="1430" w:right="1785" w:bottom="1289" w:left="1785" w:header="0" w:footer="923" w:gutter="0"/>
          <w:cols w:space="720" w:num="1"/>
        </w:sectPr>
      </w:pPr>
    </w:p>
    <w:p w14:paraId="7401DA74">
      <w:pPr>
        <w:spacing w:before="136" w:line="372" w:lineRule="auto"/>
        <w:ind w:left="23" w:right="28" w:firstLine="7"/>
        <w:jc w:val="both"/>
        <w:rPr>
          <w:rFonts w:ascii="仿宋" w:hAnsi="仿宋" w:eastAsia="仿宋" w:cs="仿宋"/>
          <w:sz w:val="31"/>
          <w:szCs w:val="31"/>
        </w:rPr>
      </w:pPr>
      <w:r>
        <w:rPr>
          <w:rFonts w:ascii="仿宋" w:hAnsi="仿宋" w:eastAsia="仿宋" w:cs="仿宋"/>
          <w:spacing w:val="8"/>
          <w:sz w:val="31"/>
          <w:szCs w:val="31"/>
        </w:rPr>
        <w:t>新建矿山必须执行矿山地质环境治理恢复基金、地质环境保</w:t>
      </w:r>
      <w:r>
        <w:rPr>
          <w:rFonts w:ascii="仿宋" w:hAnsi="仿宋" w:eastAsia="仿宋" w:cs="仿宋"/>
          <w:spacing w:val="9"/>
          <w:sz w:val="31"/>
          <w:szCs w:val="31"/>
        </w:rPr>
        <w:t>护与恢复治理方案及环境影响评价报告制度，必须编</w:t>
      </w:r>
      <w:r>
        <w:rPr>
          <w:rFonts w:ascii="仿宋" w:hAnsi="仿宋" w:eastAsia="仿宋" w:cs="仿宋"/>
          <w:spacing w:val="8"/>
          <w:sz w:val="31"/>
          <w:szCs w:val="31"/>
        </w:rPr>
        <w:t>制矿山</w:t>
      </w:r>
      <w:r>
        <w:rPr>
          <w:rFonts w:ascii="仿宋" w:hAnsi="仿宋" w:eastAsia="仿宋" w:cs="仿宋"/>
          <w:spacing w:val="9"/>
          <w:sz w:val="31"/>
          <w:szCs w:val="31"/>
        </w:rPr>
        <w:t>地质环境保护与土地复垦方案、环境影响评价报告，</w:t>
      </w:r>
      <w:r>
        <w:rPr>
          <w:rFonts w:ascii="仿宋" w:hAnsi="仿宋" w:eastAsia="仿宋" w:cs="仿宋"/>
          <w:spacing w:val="8"/>
          <w:sz w:val="31"/>
          <w:szCs w:val="31"/>
        </w:rPr>
        <w:t>并作为</w:t>
      </w:r>
      <w:r>
        <w:rPr>
          <w:rFonts w:ascii="仿宋" w:hAnsi="仿宋" w:eastAsia="仿宋" w:cs="仿宋"/>
          <w:spacing w:val="7"/>
          <w:sz w:val="31"/>
          <w:szCs w:val="31"/>
        </w:rPr>
        <w:t>矿业权审批的必要条件。</w:t>
      </w:r>
    </w:p>
    <w:p w14:paraId="4A1EB6BA">
      <w:pPr>
        <w:spacing w:before="104" w:line="355" w:lineRule="auto"/>
        <w:ind w:left="22" w:right="28" w:firstLine="667"/>
        <w:jc w:val="both"/>
        <w:rPr>
          <w:rFonts w:ascii="仿宋" w:hAnsi="仿宋" w:eastAsia="仿宋" w:cs="仿宋"/>
          <w:sz w:val="31"/>
          <w:szCs w:val="31"/>
        </w:rPr>
      </w:pPr>
      <w:r>
        <w:rPr>
          <w:rFonts w:ascii="微软雅黑" w:hAnsi="微软雅黑" w:eastAsia="微软雅黑" w:cs="微软雅黑"/>
          <w:spacing w:val="6"/>
          <w:sz w:val="31"/>
          <w:szCs w:val="31"/>
        </w:rPr>
        <w:t>国土空间规划准入</w:t>
      </w:r>
      <w:r>
        <w:rPr>
          <w:rFonts w:ascii="微软雅黑" w:hAnsi="微软雅黑" w:eastAsia="微软雅黑" w:cs="微软雅黑"/>
          <w:spacing w:val="-50"/>
          <w:sz w:val="31"/>
          <w:szCs w:val="31"/>
        </w:rPr>
        <w:t xml:space="preserve"> </w:t>
      </w:r>
      <w:r>
        <w:rPr>
          <w:sz w:val="31"/>
          <w:szCs w:val="31"/>
        </w:rPr>
        <w:drawing>
          <wp:inline distT="0" distB="0" distL="0" distR="0">
            <wp:extent cx="45720" cy="4318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70"/>
                    <a:stretch>
                      <a:fillRect/>
                    </a:stretch>
                  </pic:blipFill>
                  <pic:spPr>
                    <a:xfrm>
                      <a:off x="0" y="0"/>
                      <a:ext cx="46344" cy="43777"/>
                    </a:xfrm>
                    <a:prstGeom prst="rect">
                      <a:avLst/>
                    </a:prstGeom>
                  </pic:spPr>
                </pic:pic>
              </a:graphicData>
            </a:graphic>
          </wp:inline>
        </w:drawing>
      </w:r>
      <w:r>
        <w:rPr>
          <w:rFonts w:ascii="微软雅黑" w:hAnsi="微软雅黑" w:eastAsia="微软雅黑" w:cs="微软雅黑"/>
          <w:spacing w:val="24"/>
          <w:sz w:val="31"/>
          <w:szCs w:val="31"/>
        </w:rPr>
        <w:t xml:space="preserve">  </w:t>
      </w:r>
      <w:r>
        <w:rPr>
          <w:rFonts w:ascii="仿宋" w:hAnsi="仿宋" w:eastAsia="仿宋" w:cs="仿宋"/>
          <w:spacing w:val="6"/>
          <w:sz w:val="31"/>
          <w:szCs w:val="31"/>
        </w:rPr>
        <w:t>矿产资源勘查开发要严格遵守生态</w:t>
      </w:r>
      <w:r>
        <w:rPr>
          <w:rFonts w:ascii="仿宋" w:hAnsi="仿宋" w:eastAsia="仿宋" w:cs="仿宋"/>
          <w:spacing w:val="9"/>
          <w:sz w:val="31"/>
          <w:szCs w:val="31"/>
        </w:rPr>
        <w:t>保护红线、永久基本农田、城镇开发边界三条控制线的</w:t>
      </w:r>
      <w:r>
        <w:rPr>
          <w:rFonts w:ascii="仿宋" w:hAnsi="仿宋" w:eastAsia="仿宋" w:cs="仿宋"/>
          <w:spacing w:val="8"/>
          <w:sz w:val="31"/>
          <w:szCs w:val="31"/>
        </w:rPr>
        <w:t>管控</w:t>
      </w:r>
      <w:r>
        <w:rPr>
          <w:rFonts w:ascii="仿宋" w:hAnsi="仿宋" w:eastAsia="仿宋" w:cs="仿宋"/>
          <w:spacing w:val="9"/>
          <w:sz w:val="31"/>
          <w:szCs w:val="31"/>
        </w:rPr>
        <w:t>要求，生态红线范围内，实行不同矿种矿产资源勘查开</w:t>
      </w:r>
      <w:r>
        <w:rPr>
          <w:rFonts w:ascii="仿宋" w:hAnsi="仿宋" w:eastAsia="仿宋" w:cs="仿宋"/>
          <w:spacing w:val="8"/>
          <w:sz w:val="31"/>
          <w:szCs w:val="31"/>
        </w:rPr>
        <w:t>发差</w:t>
      </w:r>
      <w:r>
        <w:rPr>
          <w:rFonts w:ascii="仿宋" w:hAnsi="仿宋" w:eastAsia="仿宋" w:cs="仿宋"/>
          <w:spacing w:val="9"/>
          <w:sz w:val="31"/>
          <w:szCs w:val="31"/>
        </w:rPr>
        <w:t>别化管理；在严格保护永久基本农田的原则下，做好矿</w:t>
      </w:r>
      <w:r>
        <w:rPr>
          <w:rFonts w:ascii="仿宋" w:hAnsi="仿宋" w:eastAsia="仿宋" w:cs="仿宋"/>
          <w:spacing w:val="8"/>
          <w:sz w:val="31"/>
          <w:szCs w:val="31"/>
        </w:rPr>
        <w:t>产资</w:t>
      </w:r>
      <w:r>
        <w:rPr>
          <w:rFonts w:ascii="仿宋" w:hAnsi="仿宋" w:eastAsia="仿宋" w:cs="仿宋"/>
          <w:spacing w:val="15"/>
          <w:sz w:val="31"/>
          <w:szCs w:val="31"/>
        </w:rPr>
        <w:t>源勘查开发;城镇开发边界内，充分论证，协调好矿</w:t>
      </w:r>
      <w:r>
        <w:rPr>
          <w:rFonts w:ascii="仿宋" w:hAnsi="仿宋" w:eastAsia="仿宋" w:cs="仿宋"/>
          <w:spacing w:val="14"/>
          <w:sz w:val="31"/>
          <w:szCs w:val="31"/>
        </w:rPr>
        <w:t>产开发</w:t>
      </w:r>
      <w:r>
        <w:rPr>
          <w:rFonts w:ascii="仿宋" w:hAnsi="仿宋" w:eastAsia="仿宋" w:cs="仿宋"/>
          <w:spacing w:val="9"/>
          <w:sz w:val="31"/>
          <w:szCs w:val="31"/>
        </w:rPr>
        <w:t>与城乡建设的空间关系。法律法规对勘查开采活动有其</w:t>
      </w:r>
      <w:r>
        <w:rPr>
          <w:rFonts w:ascii="仿宋" w:hAnsi="仿宋" w:eastAsia="仿宋" w:cs="仿宋"/>
          <w:spacing w:val="8"/>
          <w:sz w:val="31"/>
          <w:szCs w:val="31"/>
        </w:rPr>
        <w:t>它禁止、限制性要求的，应严格遵守相关规定。</w:t>
      </w:r>
    </w:p>
    <w:p w14:paraId="2D1D06E0">
      <w:pPr>
        <w:pStyle w:val="2"/>
        <w:spacing w:before="6" w:line="356" w:lineRule="auto"/>
        <w:ind w:left="17" w:firstLine="641"/>
        <w:jc w:val="both"/>
        <w:rPr>
          <w:rFonts w:ascii="仿宋" w:hAnsi="仿宋" w:eastAsia="仿宋" w:cs="仿宋"/>
          <w:sz w:val="31"/>
          <w:szCs w:val="31"/>
        </w:rPr>
      </w:pPr>
      <w:r>
        <w:rPr>
          <w:rFonts w:ascii="微软雅黑" w:hAnsi="微软雅黑" w:eastAsia="微软雅黑" w:cs="微软雅黑"/>
          <w:spacing w:val="4"/>
          <w:sz w:val="31"/>
          <w:szCs w:val="31"/>
        </w:rPr>
        <w:t>林草征</w:t>
      </w:r>
      <w:r>
        <w:rPr>
          <w:rFonts w:ascii="微软雅黑" w:hAnsi="微软雅黑" w:eastAsia="微软雅黑" w:cs="微软雅黑"/>
          <w:spacing w:val="77"/>
          <w:sz w:val="31"/>
          <w:szCs w:val="31"/>
        </w:rPr>
        <w:t xml:space="preserve"> </w:t>
      </w:r>
      <w:r>
        <w:rPr>
          <w:spacing w:val="4"/>
          <w:sz w:val="31"/>
          <w:szCs w:val="31"/>
        </w:rPr>
        <w:t>(</w:t>
      </w:r>
      <w:r>
        <w:rPr>
          <w:spacing w:val="46"/>
          <w:sz w:val="31"/>
          <w:szCs w:val="31"/>
        </w:rPr>
        <w:t xml:space="preserve"> </w:t>
      </w:r>
      <w:r>
        <w:rPr>
          <w:rFonts w:ascii="微软雅黑" w:hAnsi="微软雅黑" w:eastAsia="微软雅黑" w:cs="微软雅黑"/>
          <w:spacing w:val="4"/>
          <w:sz w:val="31"/>
          <w:szCs w:val="31"/>
        </w:rPr>
        <w:t xml:space="preserve">占 </w:t>
      </w:r>
      <w:r>
        <w:rPr>
          <w:spacing w:val="4"/>
          <w:sz w:val="31"/>
          <w:szCs w:val="31"/>
        </w:rPr>
        <w:t xml:space="preserve">)  </w:t>
      </w:r>
      <w:r>
        <w:rPr>
          <w:rFonts w:ascii="微软雅黑" w:hAnsi="微软雅黑" w:eastAsia="微软雅黑" w:cs="微软雅黑"/>
          <w:spacing w:val="4"/>
          <w:sz w:val="31"/>
          <w:szCs w:val="31"/>
        </w:rPr>
        <w:t xml:space="preserve">用准入.  </w:t>
      </w:r>
      <w:r>
        <w:rPr>
          <w:rFonts w:ascii="仿宋" w:hAnsi="仿宋" w:eastAsia="仿宋" w:cs="仿宋"/>
          <w:spacing w:val="4"/>
          <w:sz w:val="31"/>
          <w:szCs w:val="31"/>
        </w:rPr>
        <w:t>深入贯彻《国家林业和草原局关</w:t>
      </w:r>
      <w:r>
        <w:rPr>
          <w:rFonts w:ascii="仿宋" w:hAnsi="仿宋" w:eastAsia="仿宋" w:cs="仿宋"/>
          <w:spacing w:val="21"/>
          <w:sz w:val="31"/>
          <w:szCs w:val="31"/>
        </w:rPr>
        <w:t>于印发&lt;草原征占用审核审批管理规范&gt;的通知》（林草规</w:t>
      </w:r>
      <w:r>
        <w:rPr>
          <w:rFonts w:ascii="仿宋" w:hAnsi="仿宋" w:eastAsia="仿宋" w:cs="仿宋"/>
          <w:spacing w:val="4"/>
          <w:sz w:val="31"/>
          <w:szCs w:val="31"/>
        </w:rPr>
        <w:t>〔2020〕2</w:t>
      </w:r>
      <w:r>
        <w:rPr>
          <w:rFonts w:ascii="仿宋" w:hAnsi="仿宋" w:eastAsia="仿宋" w:cs="仿宋"/>
          <w:spacing w:val="-34"/>
          <w:sz w:val="31"/>
          <w:szCs w:val="31"/>
        </w:rPr>
        <w:t xml:space="preserve"> </w:t>
      </w:r>
      <w:r>
        <w:rPr>
          <w:rFonts w:ascii="仿宋" w:hAnsi="仿宋" w:eastAsia="仿宋" w:cs="仿宋"/>
          <w:spacing w:val="4"/>
          <w:sz w:val="31"/>
          <w:szCs w:val="31"/>
        </w:rPr>
        <w:t>号）、《国家林业和草原局关于&lt;建设项目使用林</w:t>
      </w:r>
      <w:r>
        <w:rPr>
          <w:rFonts w:ascii="仿宋" w:hAnsi="仿宋" w:eastAsia="仿宋" w:cs="仿宋"/>
          <w:spacing w:val="-4"/>
          <w:sz w:val="31"/>
          <w:szCs w:val="31"/>
        </w:rPr>
        <w:t>地审核审批管理规范&gt;的通知》林资规〔2021</w:t>
      </w:r>
      <w:r>
        <w:rPr>
          <w:rFonts w:ascii="仿宋" w:hAnsi="仿宋" w:eastAsia="仿宋" w:cs="仿宋"/>
          <w:spacing w:val="-5"/>
          <w:sz w:val="31"/>
          <w:szCs w:val="31"/>
        </w:rPr>
        <w:t>〕5</w:t>
      </w:r>
      <w:r>
        <w:rPr>
          <w:rFonts w:ascii="仿宋" w:hAnsi="仿宋" w:eastAsia="仿宋" w:cs="仿宋"/>
          <w:spacing w:val="-72"/>
          <w:sz w:val="31"/>
          <w:szCs w:val="31"/>
        </w:rPr>
        <w:t xml:space="preserve"> </w:t>
      </w:r>
      <w:r>
        <w:rPr>
          <w:rFonts w:ascii="仿宋" w:hAnsi="仿宋" w:eastAsia="仿宋" w:cs="仿宋"/>
          <w:spacing w:val="-5"/>
          <w:sz w:val="31"/>
          <w:szCs w:val="31"/>
        </w:rPr>
        <w:t>号文件要求。</w:t>
      </w:r>
      <w:r>
        <w:rPr>
          <w:rFonts w:ascii="仿宋" w:hAnsi="仿宋" w:eastAsia="仿宋" w:cs="仿宋"/>
          <w:spacing w:val="9"/>
          <w:sz w:val="31"/>
          <w:szCs w:val="31"/>
        </w:rPr>
        <w:t>矿产资源勘查开采须办理林地和草原占用手续，严禁占用国家一级公益林，砂石土类矿产开发利用原则上不得占用国家</w:t>
      </w:r>
      <w:r>
        <w:rPr>
          <w:rFonts w:ascii="仿宋" w:hAnsi="仿宋" w:eastAsia="仿宋" w:cs="仿宋"/>
          <w:spacing w:val="7"/>
          <w:sz w:val="31"/>
          <w:szCs w:val="31"/>
        </w:rPr>
        <w:t>二级以上公益林。</w:t>
      </w:r>
    </w:p>
    <w:p w14:paraId="64FC3F81">
      <w:pPr>
        <w:spacing w:line="356" w:lineRule="auto"/>
        <w:rPr>
          <w:rFonts w:ascii="仿宋" w:hAnsi="仿宋" w:eastAsia="仿宋" w:cs="仿宋"/>
          <w:sz w:val="31"/>
          <w:szCs w:val="31"/>
        </w:rPr>
        <w:sectPr>
          <w:footerReference r:id="rId33" w:type="default"/>
          <w:pgSz w:w="11904" w:h="16835"/>
          <w:pgMar w:top="1430" w:right="1773" w:bottom="1289" w:left="1785" w:header="0" w:footer="923" w:gutter="0"/>
          <w:cols w:space="720" w:num="1"/>
        </w:sectPr>
      </w:pPr>
    </w:p>
    <w:p w14:paraId="2D7284B0">
      <w:pPr>
        <w:pStyle w:val="2"/>
        <w:spacing w:line="291" w:lineRule="auto"/>
      </w:pPr>
    </w:p>
    <w:p w14:paraId="26C71C76">
      <w:pPr>
        <w:spacing w:before="101" w:line="225" w:lineRule="auto"/>
        <w:ind w:left="1619"/>
        <w:outlineLvl w:val="0"/>
        <w:rPr>
          <w:rFonts w:ascii="黑体" w:hAnsi="黑体" w:eastAsia="黑体" w:cs="黑体"/>
          <w:sz w:val="31"/>
          <w:szCs w:val="31"/>
        </w:rPr>
      </w:pPr>
      <w:bookmarkStart w:id="27" w:name="bookmark18"/>
      <w:bookmarkEnd w:id="27"/>
      <w:bookmarkStart w:id="28" w:name="bookmark19"/>
      <w:bookmarkEnd w:id="28"/>
      <w:r>
        <w:rPr>
          <w:rFonts w:ascii="黑体" w:hAnsi="黑体" w:eastAsia="黑体" w:cs="黑体"/>
          <w:spacing w:val="8"/>
          <w:sz w:val="31"/>
          <w:szCs w:val="31"/>
        </w:rPr>
        <w:t>第四章 坚持集约节约 促进资源高效利用</w:t>
      </w:r>
    </w:p>
    <w:p w14:paraId="721B1C13">
      <w:pPr>
        <w:pStyle w:val="2"/>
        <w:spacing w:line="386" w:lineRule="auto"/>
      </w:pPr>
    </w:p>
    <w:p w14:paraId="0D92DEB4">
      <w:pPr>
        <w:spacing w:before="133" w:line="322" w:lineRule="exact"/>
        <w:ind w:left="1737"/>
        <w:outlineLvl w:val="0"/>
        <w:rPr>
          <w:rFonts w:ascii="微软雅黑" w:hAnsi="微软雅黑" w:eastAsia="微软雅黑" w:cs="微软雅黑"/>
          <w:sz w:val="31"/>
          <w:szCs w:val="31"/>
        </w:rPr>
      </w:pPr>
      <w:bookmarkStart w:id="29" w:name="bookmark39"/>
      <w:bookmarkEnd w:id="29"/>
      <w:r>
        <w:rPr>
          <w:rFonts w:ascii="微软雅黑" w:hAnsi="微软雅黑" w:eastAsia="微软雅黑" w:cs="微软雅黑"/>
          <w:spacing w:val="1"/>
          <w:position w:val="-1"/>
          <w:sz w:val="31"/>
          <w:szCs w:val="31"/>
        </w:rPr>
        <w:t>第</w:t>
      </w:r>
      <w:r>
        <w:rPr>
          <w:rFonts w:ascii="微软雅黑" w:hAnsi="微软雅黑" w:eastAsia="微软雅黑" w:cs="微软雅黑"/>
          <w:spacing w:val="-33"/>
          <w:position w:val="-1"/>
          <w:sz w:val="31"/>
          <w:szCs w:val="31"/>
        </w:rPr>
        <w:t xml:space="preserve"> </w:t>
      </w:r>
      <w:r>
        <w:rPr>
          <w:rFonts w:ascii="微软雅黑" w:hAnsi="微软雅黑" w:eastAsia="微软雅黑" w:cs="微软雅黑"/>
          <w:spacing w:val="1"/>
          <w:position w:val="-1"/>
          <w:sz w:val="31"/>
          <w:szCs w:val="31"/>
        </w:rPr>
        <w:t>一节</w:t>
      </w:r>
      <w:r>
        <w:rPr>
          <w:rFonts w:ascii="微软雅黑" w:hAnsi="微软雅黑" w:eastAsia="微软雅黑" w:cs="微软雅黑"/>
          <w:spacing w:val="76"/>
          <w:w w:val="101"/>
          <w:position w:val="-1"/>
          <w:sz w:val="31"/>
          <w:szCs w:val="31"/>
        </w:rPr>
        <w:t xml:space="preserve"> </w:t>
      </w:r>
      <w:r>
        <w:rPr>
          <w:rFonts w:ascii="微软雅黑" w:hAnsi="微软雅黑" w:eastAsia="微软雅黑" w:cs="微软雅黑"/>
          <w:spacing w:val="1"/>
          <w:position w:val="-1"/>
          <w:sz w:val="31"/>
          <w:szCs w:val="31"/>
        </w:rPr>
        <w:t>合理确定矿产资源开发利用总量</w:t>
      </w:r>
    </w:p>
    <w:p w14:paraId="0AC1433E">
      <w:pPr>
        <w:pStyle w:val="2"/>
        <w:spacing w:line="243" w:lineRule="auto"/>
      </w:pPr>
    </w:p>
    <w:p w14:paraId="37BA16C4">
      <w:pPr>
        <w:pStyle w:val="2"/>
        <w:spacing w:line="243" w:lineRule="auto"/>
      </w:pPr>
    </w:p>
    <w:p w14:paraId="0BEE0C84">
      <w:pPr>
        <w:spacing w:before="101" w:line="370" w:lineRule="auto"/>
        <w:ind w:left="25" w:right="16" w:firstLine="655"/>
        <w:jc w:val="both"/>
        <w:rPr>
          <w:rFonts w:ascii="仿宋" w:hAnsi="仿宋" w:eastAsia="仿宋" w:cs="仿宋"/>
          <w:sz w:val="31"/>
          <w:szCs w:val="31"/>
        </w:rPr>
      </w:pPr>
      <w:r>
        <w:rPr>
          <w:rFonts w:ascii="仿宋" w:hAnsi="仿宋" w:eastAsia="仿宋" w:cs="仿宋"/>
          <w:spacing w:val="8"/>
          <w:sz w:val="31"/>
          <w:szCs w:val="31"/>
        </w:rPr>
        <w:t>实行矿产资源开采总量和采矿权投放总量双调控，力求</w:t>
      </w:r>
      <w:r>
        <w:rPr>
          <w:rFonts w:ascii="仿宋" w:hAnsi="仿宋" w:eastAsia="仿宋" w:cs="仿宋"/>
          <w:spacing w:val="9"/>
          <w:sz w:val="31"/>
          <w:szCs w:val="31"/>
        </w:rPr>
        <w:t>矿产资源开发利用总量与经济社会发展水平相适</w:t>
      </w:r>
      <w:r>
        <w:rPr>
          <w:rFonts w:ascii="仿宋" w:hAnsi="仿宋" w:eastAsia="仿宋" w:cs="仿宋"/>
          <w:spacing w:val="8"/>
          <w:sz w:val="31"/>
          <w:szCs w:val="31"/>
        </w:rPr>
        <w:t>应，落实省</w:t>
      </w:r>
      <w:r>
        <w:rPr>
          <w:rFonts w:ascii="仿宋" w:hAnsi="仿宋" w:eastAsia="仿宋" w:cs="仿宋"/>
          <w:spacing w:val="12"/>
          <w:sz w:val="31"/>
          <w:szCs w:val="31"/>
        </w:rPr>
        <w:t>规划对总量配额指标执行情况的监督管理，到</w:t>
      </w:r>
      <w:r>
        <w:rPr>
          <w:rFonts w:ascii="仿宋" w:hAnsi="仿宋" w:eastAsia="仿宋" w:cs="仿宋"/>
          <w:spacing w:val="-37"/>
          <w:sz w:val="31"/>
          <w:szCs w:val="31"/>
        </w:rPr>
        <w:t xml:space="preserve"> </w:t>
      </w:r>
      <w:r>
        <w:rPr>
          <w:rFonts w:ascii="仿宋" w:hAnsi="仿宋" w:eastAsia="仿宋" w:cs="仿宋"/>
          <w:spacing w:val="12"/>
          <w:sz w:val="31"/>
          <w:szCs w:val="31"/>
        </w:rPr>
        <w:t>2025</w:t>
      </w:r>
      <w:r>
        <w:rPr>
          <w:rFonts w:ascii="仿宋" w:hAnsi="仿宋" w:eastAsia="仿宋" w:cs="仿宋"/>
          <w:spacing w:val="-58"/>
          <w:sz w:val="31"/>
          <w:szCs w:val="31"/>
        </w:rPr>
        <w:t xml:space="preserve"> </w:t>
      </w:r>
      <w:r>
        <w:rPr>
          <w:rFonts w:ascii="仿宋" w:hAnsi="仿宋" w:eastAsia="仿宋" w:cs="仿宋"/>
          <w:spacing w:val="12"/>
          <w:sz w:val="31"/>
          <w:szCs w:val="31"/>
        </w:rPr>
        <w:t>年底，全州各类矿山总数不超过</w:t>
      </w:r>
      <w:r>
        <w:rPr>
          <w:rFonts w:ascii="仿宋" w:hAnsi="仿宋" w:eastAsia="仿宋" w:cs="仿宋"/>
          <w:spacing w:val="-24"/>
          <w:sz w:val="31"/>
          <w:szCs w:val="31"/>
        </w:rPr>
        <w:t xml:space="preserve"> </w:t>
      </w:r>
      <w:r>
        <w:rPr>
          <w:rFonts w:ascii="仿宋" w:hAnsi="仿宋" w:eastAsia="仿宋" w:cs="仿宋"/>
          <w:spacing w:val="12"/>
          <w:sz w:val="31"/>
          <w:szCs w:val="31"/>
        </w:rPr>
        <w:t>35</w:t>
      </w:r>
      <w:r>
        <w:rPr>
          <w:rFonts w:ascii="仿宋" w:hAnsi="仿宋" w:eastAsia="仿宋" w:cs="仿宋"/>
          <w:spacing w:val="-59"/>
          <w:sz w:val="31"/>
          <w:szCs w:val="31"/>
        </w:rPr>
        <w:t xml:space="preserve"> </w:t>
      </w:r>
      <w:r>
        <w:rPr>
          <w:rFonts w:ascii="仿宋" w:hAnsi="仿宋" w:eastAsia="仿宋" w:cs="仿宋"/>
          <w:spacing w:val="12"/>
          <w:sz w:val="31"/>
          <w:szCs w:val="31"/>
        </w:rPr>
        <w:t>个，其中建筑用砂石矿山数控</w:t>
      </w:r>
      <w:r>
        <w:rPr>
          <w:rFonts w:ascii="仿宋" w:hAnsi="仿宋" w:eastAsia="仿宋" w:cs="仿宋"/>
          <w:spacing w:val="2"/>
          <w:sz w:val="31"/>
          <w:szCs w:val="31"/>
        </w:rPr>
        <w:t>制在</w:t>
      </w:r>
      <w:r>
        <w:rPr>
          <w:rFonts w:ascii="仿宋" w:hAnsi="仿宋" w:eastAsia="仿宋" w:cs="仿宋"/>
          <w:spacing w:val="-23"/>
          <w:sz w:val="31"/>
          <w:szCs w:val="31"/>
        </w:rPr>
        <w:t xml:space="preserve"> </w:t>
      </w:r>
      <w:r>
        <w:rPr>
          <w:rFonts w:ascii="仿宋" w:hAnsi="仿宋" w:eastAsia="仿宋" w:cs="仿宋"/>
          <w:spacing w:val="2"/>
          <w:sz w:val="31"/>
          <w:szCs w:val="31"/>
        </w:rPr>
        <w:t>10</w:t>
      </w:r>
      <w:r>
        <w:rPr>
          <w:rFonts w:ascii="仿宋" w:hAnsi="仿宋" w:eastAsia="仿宋" w:cs="仿宋"/>
          <w:spacing w:val="-58"/>
          <w:sz w:val="31"/>
          <w:szCs w:val="31"/>
        </w:rPr>
        <w:t xml:space="preserve"> </w:t>
      </w:r>
      <w:r>
        <w:rPr>
          <w:rFonts w:ascii="仿宋" w:hAnsi="仿宋" w:eastAsia="仿宋" w:cs="仿宋"/>
          <w:spacing w:val="2"/>
          <w:sz w:val="31"/>
          <w:szCs w:val="31"/>
        </w:rPr>
        <w:t>个以内，其它矿山数稳定在</w:t>
      </w:r>
      <w:r>
        <w:rPr>
          <w:rFonts w:ascii="仿宋" w:hAnsi="仿宋" w:eastAsia="仿宋" w:cs="仿宋"/>
          <w:spacing w:val="-49"/>
          <w:sz w:val="31"/>
          <w:szCs w:val="31"/>
        </w:rPr>
        <w:t xml:space="preserve"> </w:t>
      </w:r>
      <w:r>
        <w:rPr>
          <w:rFonts w:ascii="仿宋" w:hAnsi="仿宋" w:eastAsia="仿宋" w:cs="仿宋"/>
          <w:spacing w:val="2"/>
          <w:sz w:val="31"/>
          <w:szCs w:val="31"/>
        </w:rPr>
        <w:t>25</w:t>
      </w:r>
      <w:r>
        <w:rPr>
          <w:rFonts w:ascii="仿宋" w:hAnsi="仿宋" w:eastAsia="仿宋" w:cs="仿宋"/>
          <w:spacing w:val="-59"/>
          <w:sz w:val="31"/>
          <w:szCs w:val="31"/>
        </w:rPr>
        <w:t xml:space="preserve"> </w:t>
      </w:r>
      <w:r>
        <w:rPr>
          <w:rFonts w:ascii="仿宋" w:hAnsi="仿宋" w:eastAsia="仿宋" w:cs="仿宋"/>
          <w:spacing w:val="2"/>
          <w:sz w:val="31"/>
          <w:szCs w:val="31"/>
        </w:rPr>
        <w:t>个。</w:t>
      </w:r>
    </w:p>
    <w:p w14:paraId="04F3DE70">
      <w:pPr>
        <w:spacing w:before="7" w:line="352" w:lineRule="auto"/>
        <w:ind w:left="28" w:right="16" w:firstLine="635"/>
        <w:jc w:val="both"/>
        <w:rPr>
          <w:rFonts w:ascii="仿宋" w:hAnsi="仿宋" w:eastAsia="仿宋" w:cs="仿宋"/>
          <w:sz w:val="31"/>
          <w:szCs w:val="31"/>
        </w:rPr>
      </w:pPr>
      <w:r>
        <w:rPr>
          <w:rFonts w:ascii="微软雅黑" w:hAnsi="微软雅黑" w:eastAsia="微软雅黑" w:cs="微软雅黑"/>
          <w:spacing w:val="-2"/>
          <w:sz w:val="31"/>
          <w:szCs w:val="31"/>
        </w:rPr>
        <w:t xml:space="preserve">金属矿产:  </w:t>
      </w:r>
      <w:r>
        <w:rPr>
          <w:rFonts w:ascii="仿宋" w:hAnsi="仿宋" w:eastAsia="仿宋" w:cs="仿宋"/>
          <w:spacing w:val="-2"/>
          <w:sz w:val="31"/>
          <w:szCs w:val="31"/>
        </w:rPr>
        <w:t>稳慎推进锂、铌、钽、等稀有金属矿产开发，</w:t>
      </w:r>
      <w:r>
        <w:rPr>
          <w:rFonts w:ascii="仿宋" w:hAnsi="仿宋" w:eastAsia="仿宋" w:cs="仿宋"/>
          <w:spacing w:val="8"/>
          <w:sz w:val="31"/>
          <w:szCs w:val="31"/>
        </w:rPr>
        <w:t>慎重开发利用金、铁、锰等其它金属矿产，重点加强已有采</w:t>
      </w:r>
      <w:r>
        <w:rPr>
          <w:rFonts w:ascii="仿宋" w:hAnsi="仿宋" w:eastAsia="仿宋" w:cs="仿宋"/>
          <w:spacing w:val="4"/>
          <w:sz w:val="31"/>
          <w:szCs w:val="31"/>
        </w:rPr>
        <w:t>矿权产能释放，到</w:t>
      </w:r>
      <w:r>
        <w:rPr>
          <w:rFonts w:ascii="仿宋" w:hAnsi="仿宋" w:eastAsia="仿宋" w:cs="仿宋"/>
          <w:spacing w:val="-49"/>
          <w:sz w:val="31"/>
          <w:szCs w:val="31"/>
        </w:rPr>
        <w:t xml:space="preserve"> </w:t>
      </w:r>
      <w:r>
        <w:rPr>
          <w:rFonts w:ascii="仿宋" w:hAnsi="仿宋" w:eastAsia="仿宋" w:cs="仿宋"/>
          <w:spacing w:val="4"/>
          <w:sz w:val="31"/>
          <w:szCs w:val="31"/>
        </w:rPr>
        <w:t>2025</w:t>
      </w:r>
      <w:r>
        <w:rPr>
          <w:rFonts w:ascii="仿宋" w:hAnsi="仿宋" w:eastAsia="仿宋" w:cs="仿宋"/>
          <w:spacing w:val="-58"/>
          <w:sz w:val="31"/>
          <w:szCs w:val="31"/>
        </w:rPr>
        <w:t xml:space="preserve"> </w:t>
      </w:r>
      <w:r>
        <w:rPr>
          <w:rFonts w:ascii="仿宋" w:hAnsi="仿宋" w:eastAsia="仿宋" w:cs="仿宋"/>
          <w:spacing w:val="4"/>
          <w:sz w:val="31"/>
          <w:szCs w:val="31"/>
        </w:rPr>
        <w:t>年锂矿年产矿石量增至不低于</w:t>
      </w:r>
      <w:r>
        <w:rPr>
          <w:rFonts w:ascii="仿宋" w:hAnsi="仿宋" w:eastAsia="仿宋" w:cs="仿宋"/>
          <w:spacing w:val="-46"/>
          <w:sz w:val="31"/>
          <w:szCs w:val="31"/>
        </w:rPr>
        <w:t xml:space="preserve"> </w:t>
      </w:r>
      <w:r>
        <w:rPr>
          <w:rFonts w:ascii="仿宋" w:hAnsi="仿宋" w:eastAsia="仿宋" w:cs="仿宋"/>
          <w:spacing w:val="4"/>
          <w:sz w:val="31"/>
          <w:szCs w:val="31"/>
        </w:rPr>
        <w:t>90</w:t>
      </w:r>
      <w:r>
        <w:rPr>
          <w:rFonts w:ascii="仿宋" w:hAnsi="仿宋" w:eastAsia="仿宋" w:cs="仿宋"/>
          <w:spacing w:val="-43"/>
          <w:sz w:val="31"/>
          <w:szCs w:val="31"/>
        </w:rPr>
        <w:t xml:space="preserve"> </w:t>
      </w:r>
      <w:r>
        <w:rPr>
          <w:rFonts w:ascii="仿宋" w:hAnsi="仿宋" w:eastAsia="仿宋" w:cs="仿宋"/>
          <w:spacing w:val="4"/>
          <w:sz w:val="31"/>
          <w:szCs w:val="31"/>
        </w:rPr>
        <w:t>万</w:t>
      </w:r>
      <w:r>
        <w:rPr>
          <w:rFonts w:ascii="仿宋" w:hAnsi="仿宋" w:eastAsia="仿宋" w:cs="仿宋"/>
          <w:spacing w:val="10"/>
          <w:sz w:val="31"/>
          <w:szCs w:val="31"/>
        </w:rPr>
        <w:t>吨，矿山数提升至</w:t>
      </w:r>
      <w:r>
        <w:rPr>
          <w:rFonts w:ascii="仿宋" w:hAnsi="仿宋" w:eastAsia="仿宋" w:cs="仿宋"/>
          <w:spacing w:val="-41"/>
          <w:sz w:val="31"/>
          <w:szCs w:val="31"/>
        </w:rPr>
        <w:t xml:space="preserve"> </w:t>
      </w:r>
      <w:r>
        <w:rPr>
          <w:rFonts w:ascii="仿宋" w:hAnsi="仿宋" w:eastAsia="仿宋" w:cs="仿宋"/>
          <w:spacing w:val="10"/>
          <w:sz w:val="31"/>
          <w:szCs w:val="31"/>
        </w:rPr>
        <w:t>4</w:t>
      </w:r>
      <w:r>
        <w:rPr>
          <w:rFonts w:ascii="仿宋" w:hAnsi="仿宋" w:eastAsia="仿宋" w:cs="仿宋"/>
          <w:spacing w:val="-58"/>
          <w:sz w:val="31"/>
          <w:szCs w:val="31"/>
        </w:rPr>
        <w:t xml:space="preserve"> </w:t>
      </w:r>
      <w:r>
        <w:rPr>
          <w:rFonts w:ascii="仿宋" w:hAnsi="仿宋" w:eastAsia="仿宋" w:cs="仿宋"/>
          <w:spacing w:val="10"/>
          <w:sz w:val="31"/>
          <w:szCs w:val="31"/>
        </w:rPr>
        <w:t>个左右；金矿年产矿石量</w:t>
      </w:r>
      <w:r>
        <w:rPr>
          <w:rFonts w:ascii="仿宋" w:hAnsi="仿宋" w:eastAsia="仿宋" w:cs="仿宋"/>
          <w:spacing w:val="-42"/>
          <w:sz w:val="31"/>
          <w:szCs w:val="31"/>
        </w:rPr>
        <w:t xml:space="preserve"> </w:t>
      </w:r>
      <w:r>
        <w:rPr>
          <w:rFonts w:ascii="仿宋" w:hAnsi="仿宋" w:eastAsia="仿宋" w:cs="仿宋"/>
          <w:spacing w:val="10"/>
          <w:sz w:val="31"/>
          <w:szCs w:val="31"/>
        </w:rPr>
        <w:t>6</w:t>
      </w:r>
      <w:r>
        <w:rPr>
          <w:rFonts w:ascii="仿宋" w:hAnsi="仿宋" w:eastAsia="仿宋" w:cs="仿宋"/>
          <w:spacing w:val="9"/>
          <w:sz w:val="31"/>
          <w:szCs w:val="31"/>
        </w:rPr>
        <w:t>5</w:t>
      </w:r>
      <w:r>
        <w:rPr>
          <w:rFonts w:ascii="仿宋" w:hAnsi="仿宋" w:eastAsia="仿宋" w:cs="仿宋"/>
          <w:spacing w:val="-43"/>
          <w:sz w:val="31"/>
          <w:szCs w:val="31"/>
        </w:rPr>
        <w:t xml:space="preserve"> </w:t>
      </w:r>
      <w:r>
        <w:rPr>
          <w:rFonts w:ascii="仿宋" w:hAnsi="仿宋" w:eastAsia="仿宋" w:cs="仿宋"/>
          <w:spacing w:val="9"/>
          <w:sz w:val="31"/>
          <w:szCs w:val="31"/>
        </w:rPr>
        <w:t>万吨，矿</w:t>
      </w:r>
      <w:r>
        <w:rPr>
          <w:rFonts w:ascii="仿宋" w:hAnsi="仿宋" w:eastAsia="仿宋" w:cs="仿宋"/>
          <w:spacing w:val="7"/>
          <w:sz w:val="31"/>
          <w:szCs w:val="31"/>
        </w:rPr>
        <w:t>山数稳定在</w:t>
      </w:r>
      <w:r>
        <w:rPr>
          <w:rFonts w:ascii="仿宋" w:hAnsi="仿宋" w:eastAsia="仿宋" w:cs="仿宋"/>
          <w:spacing w:val="-28"/>
          <w:sz w:val="31"/>
          <w:szCs w:val="31"/>
        </w:rPr>
        <w:t xml:space="preserve"> </w:t>
      </w:r>
      <w:r>
        <w:rPr>
          <w:rFonts w:ascii="仿宋" w:hAnsi="仿宋" w:eastAsia="仿宋" w:cs="仿宋"/>
          <w:spacing w:val="7"/>
          <w:sz w:val="31"/>
          <w:szCs w:val="31"/>
        </w:rPr>
        <w:t>6</w:t>
      </w:r>
      <w:r>
        <w:rPr>
          <w:rFonts w:ascii="仿宋" w:hAnsi="仿宋" w:eastAsia="仿宋" w:cs="仿宋"/>
          <w:spacing w:val="-58"/>
          <w:sz w:val="31"/>
          <w:szCs w:val="31"/>
        </w:rPr>
        <w:t xml:space="preserve"> </w:t>
      </w:r>
      <w:r>
        <w:rPr>
          <w:rFonts w:ascii="仿宋" w:hAnsi="仿宋" w:eastAsia="仿宋" w:cs="仿宋"/>
          <w:spacing w:val="7"/>
          <w:sz w:val="31"/>
          <w:szCs w:val="31"/>
        </w:rPr>
        <w:t>个左右；铁矿年产矿石量</w:t>
      </w:r>
      <w:r>
        <w:rPr>
          <w:rFonts w:ascii="仿宋" w:hAnsi="仿宋" w:eastAsia="仿宋" w:cs="仿宋"/>
          <w:spacing w:val="-27"/>
          <w:sz w:val="31"/>
          <w:szCs w:val="31"/>
        </w:rPr>
        <w:t xml:space="preserve"> </w:t>
      </w:r>
      <w:r>
        <w:rPr>
          <w:rFonts w:ascii="仿宋" w:hAnsi="仿宋" w:eastAsia="仿宋" w:cs="仿宋"/>
          <w:spacing w:val="7"/>
          <w:sz w:val="31"/>
          <w:szCs w:val="31"/>
        </w:rPr>
        <w:t>30</w:t>
      </w:r>
      <w:r>
        <w:rPr>
          <w:rFonts w:ascii="仿宋" w:hAnsi="仿宋" w:eastAsia="仿宋" w:cs="仿宋"/>
          <w:spacing w:val="-44"/>
          <w:sz w:val="31"/>
          <w:szCs w:val="31"/>
        </w:rPr>
        <w:t xml:space="preserve"> </w:t>
      </w:r>
      <w:r>
        <w:rPr>
          <w:rFonts w:ascii="仿宋" w:hAnsi="仿宋" w:eastAsia="仿宋" w:cs="仿宋"/>
          <w:spacing w:val="7"/>
          <w:sz w:val="31"/>
          <w:szCs w:val="31"/>
        </w:rPr>
        <w:t>万吨，矿山数</w:t>
      </w:r>
      <w:r>
        <w:rPr>
          <w:rFonts w:ascii="仿宋" w:hAnsi="仿宋" w:eastAsia="仿宋" w:cs="仿宋"/>
          <w:spacing w:val="-36"/>
          <w:sz w:val="31"/>
          <w:szCs w:val="31"/>
        </w:rPr>
        <w:t xml:space="preserve"> </w:t>
      </w:r>
      <w:r>
        <w:rPr>
          <w:rFonts w:ascii="仿宋" w:hAnsi="仿宋" w:eastAsia="仿宋" w:cs="仿宋"/>
          <w:spacing w:val="7"/>
          <w:sz w:val="31"/>
          <w:szCs w:val="31"/>
        </w:rPr>
        <w:t>1</w:t>
      </w:r>
      <w:r>
        <w:rPr>
          <w:rFonts w:ascii="仿宋" w:hAnsi="仿宋" w:eastAsia="仿宋" w:cs="仿宋"/>
          <w:spacing w:val="-5"/>
          <w:sz w:val="31"/>
          <w:szCs w:val="31"/>
        </w:rPr>
        <w:t>个。</w:t>
      </w:r>
    </w:p>
    <w:p w14:paraId="4068FC34">
      <w:pPr>
        <w:spacing w:before="6" w:line="358" w:lineRule="auto"/>
        <w:ind w:left="26" w:right="16" w:firstLine="643"/>
        <w:jc w:val="both"/>
        <w:rPr>
          <w:rFonts w:ascii="仿宋" w:hAnsi="仿宋" w:eastAsia="仿宋" w:cs="仿宋"/>
          <w:sz w:val="31"/>
          <w:szCs w:val="31"/>
        </w:rPr>
      </w:pPr>
      <w:r>
        <w:rPr>
          <w:rFonts w:ascii="微软雅黑" w:hAnsi="微软雅黑" w:eastAsia="微软雅黑" w:cs="微软雅黑"/>
          <w:spacing w:val="7"/>
          <w:position w:val="1"/>
          <w:sz w:val="31"/>
          <w:szCs w:val="31"/>
        </w:rPr>
        <w:t>非金属矿产:</w:t>
      </w:r>
      <w:r>
        <w:rPr>
          <w:rFonts w:ascii="微软雅黑" w:hAnsi="微软雅黑" w:eastAsia="微软雅黑" w:cs="微软雅黑"/>
          <w:spacing w:val="44"/>
          <w:position w:val="1"/>
          <w:sz w:val="31"/>
          <w:szCs w:val="31"/>
        </w:rPr>
        <w:t xml:space="preserve">  </w:t>
      </w:r>
      <w:r>
        <w:rPr>
          <w:rFonts w:ascii="仿宋" w:hAnsi="仿宋" w:eastAsia="仿宋" w:cs="仿宋"/>
          <w:spacing w:val="7"/>
          <w:sz w:val="31"/>
          <w:szCs w:val="31"/>
        </w:rPr>
        <w:t>鼓励矿山企业依靠科技进步，研究开发新</w:t>
      </w:r>
      <w:r>
        <w:rPr>
          <w:rFonts w:ascii="仿宋" w:hAnsi="仿宋" w:eastAsia="仿宋" w:cs="仿宋"/>
          <w:spacing w:val="9"/>
          <w:sz w:val="31"/>
          <w:szCs w:val="31"/>
        </w:rPr>
        <w:t>型建筑材料用矿产品和建筑材料，扩大建筑材</w:t>
      </w:r>
      <w:r>
        <w:rPr>
          <w:rFonts w:ascii="仿宋" w:hAnsi="仿宋" w:eastAsia="仿宋" w:cs="仿宋"/>
          <w:spacing w:val="8"/>
          <w:sz w:val="31"/>
          <w:szCs w:val="31"/>
        </w:rPr>
        <w:t>料矿产应用领</w:t>
      </w:r>
      <w:r>
        <w:rPr>
          <w:rFonts w:ascii="仿宋" w:hAnsi="仿宋" w:eastAsia="仿宋" w:cs="仿宋"/>
          <w:spacing w:val="9"/>
          <w:sz w:val="31"/>
          <w:szCs w:val="31"/>
        </w:rPr>
        <w:t>域。提高资源保障能力，促进资源惠民，改善</w:t>
      </w:r>
      <w:r>
        <w:rPr>
          <w:rFonts w:ascii="仿宋" w:hAnsi="仿宋" w:eastAsia="仿宋" w:cs="仿宋"/>
          <w:spacing w:val="8"/>
          <w:sz w:val="31"/>
          <w:szCs w:val="31"/>
        </w:rPr>
        <w:t>民生，巩固脱</w:t>
      </w:r>
      <w:r>
        <w:rPr>
          <w:rFonts w:ascii="仿宋" w:hAnsi="仿宋" w:eastAsia="仿宋" w:cs="仿宋"/>
          <w:spacing w:val="7"/>
          <w:sz w:val="31"/>
          <w:szCs w:val="31"/>
        </w:rPr>
        <w:t>贫攻坚成果，服务乡村振兴。到</w:t>
      </w:r>
      <w:r>
        <w:rPr>
          <w:rFonts w:ascii="仿宋" w:hAnsi="仿宋" w:eastAsia="仿宋" w:cs="仿宋"/>
          <w:spacing w:val="-48"/>
          <w:sz w:val="31"/>
          <w:szCs w:val="31"/>
        </w:rPr>
        <w:t xml:space="preserve"> </w:t>
      </w:r>
      <w:r>
        <w:rPr>
          <w:rFonts w:ascii="仿宋" w:hAnsi="仿宋" w:eastAsia="仿宋" w:cs="仿宋"/>
          <w:spacing w:val="7"/>
          <w:sz w:val="31"/>
          <w:szCs w:val="31"/>
        </w:rPr>
        <w:t>2025</w:t>
      </w:r>
      <w:r>
        <w:rPr>
          <w:rFonts w:ascii="仿宋" w:hAnsi="仿宋" w:eastAsia="仿宋" w:cs="仿宋"/>
          <w:spacing w:val="-58"/>
          <w:sz w:val="31"/>
          <w:szCs w:val="31"/>
        </w:rPr>
        <w:t xml:space="preserve"> </w:t>
      </w:r>
      <w:r>
        <w:rPr>
          <w:rFonts w:ascii="仿宋" w:hAnsi="仿宋" w:eastAsia="仿宋" w:cs="仿宋"/>
          <w:spacing w:val="7"/>
          <w:sz w:val="31"/>
          <w:szCs w:val="31"/>
        </w:rPr>
        <w:t>年，水泥用</w:t>
      </w:r>
      <w:r>
        <w:rPr>
          <w:rFonts w:ascii="仿宋" w:hAnsi="仿宋" w:eastAsia="仿宋" w:cs="仿宋"/>
          <w:spacing w:val="6"/>
          <w:sz w:val="31"/>
          <w:szCs w:val="31"/>
        </w:rPr>
        <w:t>灰岩年产</w:t>
      </w:r>
      <w:r>
        <w:rPr>
          <w:rFonts w:ascii="仿宋" w:hAnsi="仿宋" w:eastAsia="仿宋" w:cs="仿宋"/>
          <w:spacing w:val="3"/>
          <w:sz w:val="31"/>
          <w:szCs w:val="31"/>
        </w:rPr>
        <w:t>矿石量</w:t>
      </w:r>
      <w:r>
        <w:rPr>
          <w:rFonts w:ascii="仿宋" w:hAnsi="仿宋" w:eastAsia="仿宋" w:cs="仿宋"/>
          <w:spacing w:val="-37"/>
          <w:sz w:val="31"/>
          <w:szCs w:val="31"/>
        </w:rPr>
        <w:t xml:space="preserve"> </w:t>
      </w:r>
      <w:r>
        <w:rPr>
          <w:rFonts w:ascii="仿宋" w:hAnsi="仿宋" w:eastAsia="仿宋" w:cs="仿宋"/>
          <w:spacing w:val="3"/>
          <w:sz w:val="31"/>
          <w:szCs w:val="31"/>
        </w:rPr>
        <w:t>120</w:t>
      </w:r>
      <w:r>
        <w:rPr>
          <w:rFonts w:ascii="仿宋" w:hAnsi="仿宋" w:eastAsia="仿宋" w:cs="仿宋"/>
          <w:spacing w:val="-43"/>
          <w:sz w:val="31"/>
          <w:szCs w:val="31"/>
        </w:rPr>
        <w:t xml:space="preserve"> </w:t>
      </w:r>
      <w:r>
        <w:rPr>
          <w:rFonts w:ascii="仿宋" w:hAnsi="仿宋" w:eastAsia="仿宋" w:cs="仿宋"/>
          <w:spacing w:val="3"/>
          <w:sz w:val="31"/>
          <w:szCs w:val="31"/>
        </w:rPr>
        <w:t>万吨，矿山数保持现有的</w:t>
      </w:r>
      <w:r>
        <w:rPr>
          <w:rFonts w:ascii="仿宋" w:hAnsi="仿宋" w:eastAsia="仿宋" w:cs="仿宋"/>
          <w:spacing w:val="-41"/>
          <w:sz w:val="31"/>
          <w:szCs w:val="31"/>
        </w:rPr>
        <w:t xml:space="preserve"> </w:t>
      </w:r>
      <w:r>
        <w:rPr>
          <w:rFonts w:ascii="仿宋" w:hAnsi="仿宋" w:eastAsia="仿宋" w:cs="仿宋"/>
          <w:spacing w:val="3"/>
          <w:sz w:val="31"/>
          <w:szCs w:val="31"/>
        </w:rPr>
        <w:t>1</w:t>
      </w:r>
      <w:r>
        <w:rPr>
          <w:rFonts w:ascii="仿宋" w:hAnsi="仿宋" w:eastAsia="仿宋" w:cs="仿宋"/>
          <w:spacing w:val="-59"/>
          <w:sz w:val="31"/>
          <w:szCs w:val="31"/>
        </w:rPr>
        <w:t xml:space="preserve"> </w:t>
      </w:r>
      <w:r>
        <w:rPr>
          <w:rFonts w:ascii="仿宋" w:hAnsi="仿宋" w:eastAsia="仿宋" w:cs="仿宋"/>
          <w:spacing w:val="3"/>
          <w:sz w:val="31"/>
          <w:szCs w:val="31"/>
        </w:rPr>
        <w:t>个；</w:t>
      </w:r>
      <w:r>
        <w:rPr>
          <w:rFonts w:ascii="仿宋" w:hAnsi="仿宋" w:eastAsia="仿宋" w:cs="仿宋"/>
          <w:spacing w:val="2"/>
          <w:sz w:val="31"/>
          <w:szCs w:val="31"/>
        </w:rPr>
        <w:t>大理石年产</w:t>
      </w:r>
      <w:r>
        <w:rPr>
          <w:rFonts w:ascii="仿宋" w:hAnsi="仿宋" w:eastAsia="仿宋" w:cs="仿宋"/>
          <w:spacing w:val="-45"/>
          <w:sz w:val="31"/>
          <w:szCs w:val="31"/>
        </w:rPr>
        <w:t xml:space="preserve"> </w:t>
      </w:r>
      <w:r>
        <w:rPr>
          <w:rFonts w:ascii="仿宋" w:hAnsi="仿宋" w:eastAsia="仿宋" w:cs="仿宋"/>
          <w:spacing w:val="2"/>
          <w:sz w:val="31"/>
          <w:szCs w:val="31"/>
        </w:rPr>
        <w:t>4.5</w:t>
      </w:r>
      <w:r>
        <w:rPr>
          <w:rFonts w:ascii="仿宋" w:hAnsi="仿宋" w:eastAsia="仿宋" w:cs="仿宋"/>
          <w:spacing w:val="4"/>
          <w:sz w:val="31"/>
          <w:szCs w:val="31"/>
        </w:rPr>
        <w:t>万立方米，矿山数</w:t>
      </w:r>
      <w:r>
        <w:rPr>
          <w:rFonts w:ascii="仿宋" w:hAnsi="仿宋" w:eastAsia="仿宋" w:cs="仿宋"/>
          <w:spacing w:val="-47"/>
          <w:sz w:val="31"/>
          <w:szCs w:val="31"/>
        </w:rPr>
        <w:t xml:space="preserve"> </w:t>
      </w:r>
      <w:r>
        <w:rPr>
          <w:rFonts w:ascii="仿宋" w:hAnsi="仿宋" w:eastAsia="仿宋" w:cs="仿宋"/>
          <w:spacing w:val="4"/>
          <w:sz w:val="31"/>
          <w:szCs w:val="31"/>
        </w:rPr>
        <w:t>4</w:t>
      </w:r>
      <w:r>
        <w:rPr>
          <w:rFonts w:ascii="仿宋" w:hAnsi="仿宋" w:eastAsia="仿宋" w:cs="仿宋"/>
          <w:spacing w:val="-59"/>
          <w:sz w:val="31"/>
          <w:szCs w:val="31"/>
        </w:rPr>
        <w:t xml:space="preserve"> </w:t>
      </w:r>
      <w:r>
        <w:rPr>
          <w:rFonts w:ascii="仿宋" w:hAnsi="仿宋" w:eastAsia="仿宋" w:cs="仿宋"/>
          <w:spacing w:val="4"/>
          <w:sz w:val="31"/>
          <w:szCs w:val="31"/>
        </w:rPr>
        <w:t>个左右；饰面用花岗岩年产</w:t>
      </w:r>
      <w:r>
        <w:rPr>
          <w:rFonts w:ascii="仿宋" w:hAnsi="仿宋" w:eastAsia="仿宋" w:cs="仿宋"/>
          <w:spacing w:val="-34"/>
          <w:sz w:val="31"/>
          <w:szCs w:val="31"/>
        </w:rPr>
        <w:t xml:space="preserve"> </w:t>
      </w:r>
      <w:r>
        <w:rPr>
          <w:rFonts w:ascii="仿宋" w:hAnsi="仿宋" w:eastAsia="仿宋" w:cs="仿宋"/>
          <w:spacing w:val="4"/>
          <w:sz w:val="31"/>
          <w:szCs w:val="31"/>
        </w:rPr>
        <w:t>0.05</w:t>
      </w:r>
      <w:r>
        <w:rPr>
          <w:rFonts w:ascii="仿宋" w:hAnsi="仿宋" w:eastAsia="仿宋" w:cs="仿宋"/>
          <w:spacing w:val="-44"/>
          <w:sz w:val="31"/>
          <w:szCs w:val="31"/>
        </w:rPr>
        <w:t xml:space="preserve"> </w:t>
      </w:r>
      <w:r>
        <w:rPr>
          <w:rFonts w:ascii="仿宋" w:hAnsi="仿宋" w:eastAsia="仿宋" w:cs="仿宋"/>
          <w:spacing w:val="4"/>
          <w:sz w:val="31"/>
          <w:szCs w:val="31"/>
        </w:rPr>
        <w:t>万立方米，矿山数保持</w:t>
      </w:r>
      <w:r>
        <w:rPr>
          <w:rFonts w:ascii="仿宋" w:hAnsi="仿宋" w:eastAsia="仿宋" w:cs="仿宋"/>
          <w:spacing w:val="-41"/>
          <w:sz w:val="31"/>
          <w:szCs w:val="31"/>
        </w:rPr>
        <w:t xml:space="preserve"> </w:t>
      </w:r>
      <w:r>
        <w:rPr>
          <w:rFonts w:ascii="仿宋" w:hAnsi="仿宋" w:eastAsia="仿宋" w:cs="仿宋"/>
          <w:spacing w:val="4"/>
          <w:sz w:val="31"/>
          <w:szCs w:val="31"/>
        </w:rPr>
        <w:t>1</w:t>
      </w:r>
      <w:r>
        <w:rPr>
          <w:rFonts w:ascii="仿宋" w:hAnsi="仿宋" w:eastAsia="仿宋" w:cs="仿宋"/>
          <w:spacing w:val="-58"/>
          <w:sz w:val="31"/>
          <w:szCs w:val="31"/>
        </w:rPr>
        <w:t xml:space="preserve"> </w:t>
      </w:r>
      <w:r>
        <w:rPr>
          <w:rFonts w:ascii="仿宋" w:hAnsi="仿宋" w:eastAsia="仿宋" w:cs="仿宋"/>
          <w:spacing w:val="4"/>
          <w:sz w:val="31"/>
          <w:szCs w:val="31"/>
        </w:rPr>
        <w:t>个；石榴石年产</w:t>
      </w:r>
      <w:r>
        <w:rPr>
          <w:rFonts w:ascii="仿宋" w:hAnsi="仿宋" w:eastAsia="仿宋" w:cs="仿宋"/>
          <w:spacing w:val="-39"/>
          <w:sz w:val="31"/>
          <w:szCs w:val="31"/>
        </w:rPr>
        <w:t xml:space="preserve"> </w:t>
      </w:r>
      <w:r>
        <w:rPr>
          <w:rFonts w:ascii="仿宋" w:hAnsi="仿宋" w:eastAsia="仿宋" w:cs="仿宋"/>
          <w:spacing w:val="4"/>
          <w:sz w:val="31"/>
          <w:szCs w:val="31"/>
        </w:rPr>
        <w:t>0.2</w:t>
      </w:r>
      <w:r>
        <w:rPr>
          <w:rFonts w:ascii="仿宋" w:hAnsi="仿宋" w:eastAsia="仿宋" w:cs="仿宋"/>
          <w:spacing w:val="-44"/>
          <w:sz w:val="31"/>
          <w:szCs w:val="31"/>
        </w:rPr>
        <w:t xml:space="preserve"> </w:t>
      </w:r>
      <w:r>
        <w:rPr>
          <w:rFonts w:ascii="仿宋" w:hAnsi="仿宋" w:eastAsia="仿宋" w:cs="仿宋"/>
          <w:spacing w:val="3"/>
          <w:sz w:val="31"/>
          <w:szCs w:val="31"/>
        </w:rPr>
        <w:t>万吨，矿山数保持</w:t>
      </w:r>
      <w:r>
        <w:rPr>
          <w:rFonts w:ascii="仿宋" w:hAnsi="仿宋" w:eastAsia="仿宋" w:cs="仿宋"/>
          <w:spacing w:val="4"/>
          <w:sz w:val="31"/>
          <w:szCs w:val="31"/>
        </w:rPr>
        <w:t>1</w:t>
      </w:r>
      <w:r>
        <w:rPr>
          <w:rFonts w:ascii="仿宋" w:hAnsi="仿宋" w:eastAsia="仿宋" w:cs="仿宋"/>
          <w:spacing w:val="-59"/>
          <w:sz w:val="31"/>
          <w:szCs w:val="31"/>
        </w:rPr>
        <w:t xml:space="preserve"> </w:t>
      </w:r>
      <w:r>
        <w:rPr>
          <w:rFonts w:ascii="仿宋" w:hAnsi="仿宋" w:eastAsia="仿宋" w:cs="仿宋"/>
          <w:spacing w:val="4"/>
          <w:sz w:val="31"/>
          <w:szCs w:val="31"/>
        </w:rPr>
        <w:t>个，建筑用砂石不超过</w:t>
      </w:r>
      <w:r>
        <w:rPr>
          <w:rFonts w:ascii="仿宋" w:hAnsi="仿宋" w:eastAsia="仿宋" w:cs="仿宋"/>
          <w:spacing w:val="-41"/>
          <w:sz w:val="31"/>
          <w:szCs w:val="31"/>
        </w:rPr>
        <w:t xml:space="preserve"> </w:t>
      </w:r>
      <w:r>
        <w:rPr>
          <w:rFonts w:ascii="仿宋" w:hAnsi="仿宋" w:eastAsia="仿宋" w:cs="仿宋"/>
          <w:spacing w:val="4"/>
          <w:sz w:val="31"/>
          <w:szCs w:val="31"/>
        </w:rPr>
        <w:t>10</w:t>
      </w:r>
      <w:r>
        <w:rPr>
          <w:rFonts w:ascii="仿宋" w:hAnsi="仿宋" w:eastAsia="仿宋" w:cs="仿宋"/>
          <w:spacing w:val="-59"/>
          <w:sz w:val="31"/>
          <w:szCs w:val="31"/>
        </w:rPr>
        <w:t xml:space="preserve"> </w:t>
      </w:r>
      <w:r>
        <w:rPr>
          <w:rFonts w:ascii="仿宋" w:hAnsi="仿宋" w:eastAsia="仿宋" w:cs="仿宋"/>
          <w:spacing w:val="4"/>
          <w:sz w:val="31"/>
          <w:szCs w:val="31"/>
        </w:rPr>
        <w:t>个，砖瓦用建材不超过</w:t>
      </w:r>
      <w:r>
        <w:rPr>
          <w:rFonts w:ascii="仿宋" w:hAnsi="仿宋" w:eastAsia="仿宋" w:cs="仿宋"/>
          <w:spacing w:val="-48"/>
          <w:sz w:val="31"/>
          <w:szCs w:val="31"/>
        </w:rPr>
        <w:t xml:space="preserve"> </w:t>
      </w:r>
      <w:r>
        <w:rPr>
          <w:rFonts w:ascii="仿宋" w:hAnsi="仿宋" w:eastAsia="仿宋" w:cs="仿宋"/>
          <w:spacing w:val="4"/>
          <w:sz w:val="31"/>
          <w:szCs w:val="31"/>
        </w:rPr>
        <w:t>2</w:t>
      </w:r>
      <w:r>
        <w:rPr>
          <w:rFonts w:ascii="仿宋" w:hAnsi="仿宋" w:eastAsia="仿宋" w:cs="仿宋"/>
          <w:spacing w:val="-59"/>
          <w:sz w:val="31"/>
          <w:szCs w:val="31"/>
        </w:rPr>
        <w:t xml:space="preserve"> </w:t>
      </w:r>
      <w:r>
        <w:rPr>
          <w:rFonts w:ascii="仿宋" w:hAnsi="仿宋" w:eastAsia="仿宋" w:cs="仿宋"/>
          <w:spacing w:val="3"/>
          <w:sz w:val="31"/>
          <w:szCs w:val="31"/>
        </w:rPr>
        <w:t>个。</w:t>
      </w:r>
    </w:p>
    <w:p w14:paraId="7AB6517C">
      <w:pPr>
        <w:spacing w:line="358" w:lineRule="auto"/>
        <w:rPr>
          <w:rFonts w:ascii="仿宋" w:hAnsi="仿宋" w:eastAsia="仿宋" w:cs="仿宋"/>
          <w:sz w:val="31"/>
          <w:szCs w:val="31"/>
        </w:rPr>
        <w:sectPr>
          <w:footerReference r:id="rId34" w:type="default"/>
          <w:pgSz w:w="11904" w:h="16835"/>
          <w:pgMar w:top="1430" w:right="1785" w:bottom="1289" w:left="1785" w:header="0" w:footer="923" w:gutter="0"/>
          <w:cols w:space="720" w:num="1"/>
        </w:sectPr>
      </w:pPr>
    </w:p>
    <w:p w14:paraId="3EE2B8F4">
      <w:pPr>
        <w:spacing w:before="124" w:line="338" w:lineRule="auto"/>
        <w:ind w:left="23" w:right="16" w:firstLine="631"/>
        <w:jc w:val="both"/>
        <w:rPr>
          <w:rFonts w:ascii="仿宋" w:hAnsi="仿宋" w:eastAsia="仿宋" w:cs="仿宋"/>
          <w:sz w:val="31"/>
          <w:szCs w:val="31"/>
        </w:rPr>
      </w:pPr>
      <w:r>
        <w:rPr>
          <w:rFonts w:ascii="微软雅黑" w:hAnsi="微软雅黑" w:eastAsia="微软雅黑" w:cs="微软雅黑"/>
          <w:spacing w:val="8"/>
          <w:position w:val="1"/>
          <w:sz w:val="31"/>
          <w:szCs w:val="31"/>
        </w:rPr>
        <w:t>地热矿产:</w:t>
      </w:r>
      <w:r>
        <w:rPr>
          <w:rFonts w:ascii="微软雅黑" w:hAnsi="微软雅黑" w:eastAsia="微软雅黑" w:cs="微软雅黑"/>
          <w:spacing w:val="39"/>
          <w:position w:val="1"/>
          <w:sz w:val="31"/>
          <w:szCs w:val="31"/>
        </w:rPr>
        <w:t xml:space="preserve">  </w:t>
      </w:r>
      <w:r>
        <w:rPr>
          <w:rFonts w:ascii="仿宋" w:hAnsi="仿宋" w:eastAsia="仿宋" w:cs="仿宋"/>
          <w:spacing w:val="8"/>
          <w:sz w:val="31"/>
          <w:szCs w:val="31"/>
        </w:rPr>
        <w:t>合理开发利用地热资源，提升地热规模化开</w:t>
      </w:r>
      <w:r>
        <w:rPr>
          <w:rFonts w:ascii="仿宋" w:hAnsi="仿宋" w:eastAsia="仿宋" w:cs="仿宋"/>
          <w:spacing w:val="10"/>
          <w:sz w:val="31"/>
          <w:szCs w:val="31"/>
        </w:rPr>
        <w:t>采能力，实现地热资源的绿色生态开发利用。</w:t>
      </w:r>
      <w:r>
        <w:rPr>
          <w:rFonts w:ascii="仿宋" w:hAnsi="仿宋" w:eastAsia="仿宋" w:cs="仿宋"/>
          <w:spacing w:val="-93"/>
          <w:sz w:val="31"/>
          <w:szCs w:val="31"/>
        </w:rPr>
        <w:t xml:space="preserve"> </w:t>
      </w:r>
      <w:r>
        <w:rPr>
          <w:rFonts w:ascii="仿宋" w:hAnsi="仿宋" w:eastAsia="仿宋" w:cs="仿宋"/>
          <w:spacing w:val="10"/>
          <w:sz w:val="31"/>
          <w:szCs w:val="31"/>
        </w:rPr>
        <w:t>到</w:t>
      </w:r>
      <w:r>
        <w:rPr>
          <w:rFonts w:ascii="仿宋" w:hAnsi="仿宋" w:eastAsia="仿宋" w:cs="仿宋"/>
          <w:spacing w:val="-39"/>
          <w:sz w:val="31"/>
          <w:szCs w:val="31"/>
        </w:rPr>
        <w:t xml:space="preserve"> </w:t>
      </w:r>
      <w:r>
        <w:rPr>
          <w:rFonts w:ascii="仿宋" w:hAnsi="仿宋" w:eastAsia="仿宋" w:cs="仿宋"/>
          <w:spacing w:val="10"/>
          <w:sz w:val="31"/>
          <w:szCs w:val="31"/>
        </w:rPr>
        <w:t>2</w:t>
      </w:r>
      <w:r>
        <w:rPr>
          <w:rFonts w:ascii="仿宋" w:hAnsi="仿宋" w:eastAsia="仿宋" w:cs="仿宋"/>
          <w:spacing w:val="9"/>
          <w:sz w:val="31"/>
          <w:szCs w:val="31"/>
        </w:rPr>
        <w:t>025</w:t>
      </w:r>
      <w:r>
        <w:rPr>
          <w:rFonts w:ascii="仿宋" w:hAnsi="仿宋" w:eastAsia="仿宋" w:cs="仿宋"/>
          <w:spacing w:val="-57"/>
          <w:sz w:val="31"/>
          <w:szCs w:val="31"/>
        </w:rPr>
        <w:t xml:space="preserve"> </w:t>
      </w:r>
      <w:r>
        <w:rPr>
          <w:rFonts w:ascii="仿宋" w:hAnsi="仿宋" w:eastAsia="仿宋" w:cs="仿宋"/>
          <w:spacing w:val="9"/>
          <w:sz w:val="31"/>
          <w:szCs w:val="31"/>
        </w:rPr>
        <w:t>年，</w:t>
      </w:r>
      <w:bookmarkStart w:id="30" w:name="bookmark20"/>
      <w:bookmarkEnd w:id="30"/>
      <w:r>
        <w:rPr>
          <w:rFonts w:ascii="仿宋" w:hAnsi="仿宋" w:eastAsia="仿宋" w:cs="仿宋"/>
          <w:spacing w:val="4"/>
          <w:sz w:val="31"/>
          <w:szCs w:val="31"/>
        </w:rPr>
        <w:t>地热年开采量</w:t>
      </w:r>
      <w:r>
        <w:rPr>
          <w:rFonts w:ascii="仿宋" w:hAnsi="仿宋" w:eastAsia="仿宋" w:cs="仿宋"/>
          <w:spacing w:val="-38"/>
          <w:sz w:val="31"/>
          <w:szCs w:val="31"/>
        </w:rPr>
        <w:t xml:space="preserve"> </w:t>
      </w:r>
      <w:r>
        <w:rPr>
          <w:rFonts w:ascii="仿宋" w:hAnsi="仿宋" w:eastAsia="仿宋" w:cs="仿宋"/>
          <w:spacing w:val="4"/>
          <w:sz w:val="31"/>
          <w:szCs w:val="31"/>
        </w:rPr>
        <w:t>60</w:t>
      </w:r>
      <w:r>
        <w:rPr>
          <w:rFonts w:ascii="仿宋" w:hAnsi="仿宋" w:eastAsia="仿宋" w:cs="仿宋"/>
          <w:spacing w:val="-43"/>
          <w:sz w:val="31"/>
          <w:szCs w:val="31"/>
        </w:rPr>
        <w:t xml:space="preserve"> </w:t>
      </w:r>
      <w:r>
        <w:rPr>
          <w:rFonts w:ascii="仿宋" w:hAnsi="仿宋" w:eastAsia="仿宋" w:cs="仿宋"/>
          <w:spacing w:val="4"/>
          <w:sz w:val="31"/>
          <w:szCs w:val="31"/>
        </w:rPr>
        <w:t>万立方米，矿山数量提升至</w:t>
      </w:r>
      <w:r>
        <w:rPr>
          <w:rFonts w:ascii="仿宋" w:hAnsi="仿宋" w:eastAsia="仿宋" w:cs="仿宋"/>
          <w:spacing w:val="-44"/>
          <w:sz w:val="31"/>
          <w:szCs w:val="31"/>
        </w:rPr>
        <w:t xml:space="preserve"> </w:t>
      </w:r>
      <w:r>
        <w:rPr>
          <w:rFonts w:ascii="仿宋" w:hAnsi="仿宋" w:eastAsia="仿宋" w:cs="仿宋"/>
          <w:spacing w:val="4"/>
          <w:sz w:val="31"/>
          <w:szCs w:val="31"/>
        </w:rPr>
        <w:t>2</w:t>
      </w:r>
      <w:r>
        <w:rPr>
          <w:rFonts w:ascii="仿宋" w:hAnsi="仿宋" w:eastAsia="仿宋" w:cs="仿宋"/>
          <w:spacing w:val="-66"/>
          <w:sz w:val="31"/>
          <w:szCs w:val="31"/>
        </w:rPr>
        <w:t xml:space="preserve"> </w:t>
      </w:r>
      <w:r>
        <w:rPr>
          <w:rFonts w:ascii="仿宋" w:hAnsi="仿宋" w:eastAsia="仿宋" w:cs="仿宋"/>
          <w:spacing w:val="4"/>
          <w:sz w:val="31"/>
          <w:szCs w:val="31"/>
        </w:rPr>
        <w:t>座左右。</w:t>
      </w:r>
    </w:p>
    <w:p w14:paraId="560089AF">
      <w:pPr>
        <w:spacing w:before="273" w:line="322" w:lineRule="exact"/>
        <w:ind w:left="2055"/>
        <w:outlineLvl w:val="0"/>
        <w:rPr>
          <w:rFonts w:ascii="微软雅黑" w:hAnsi="微软雅黑" w:eastAsia="微软雅黑" w:cs="微软雅黑"/>
          <w:sz w:val="30"/>
          <w:szCs w:val="30"/>
        </w:rPr>
      </w:pPr>
      <w:bookmarkStart w:id="31" w:name="bookmark40"/>
      <w:bookmarkEnd w:id="31"/>
      <w:r>
        <w:rPr>
          <w:rFonts w:ascii="微软雅黑" w:hAnsi="微软雅黑" w:eastAsia="微软雅黑" w:cs="微软雅黑"/>
          <w:spacing w:val="11"/>
          <w:position w:val="-1"/>
          <w:sz w:val="30"/>
          <w:szCs w:val="30"/>
        </w:rPr>
        <w:t>第二节  优化矿产资源开发利用结构</w:t>
      </w:r>
    </w:p>
    <w:p w14:paraId="0FBA31CF">
      <w:pPr>
        <w:pStyle w:val="2"/>
        <w:spacing w:line="243" w:lineRule="auto"/>
      </w:pPr>
    </w:p>
    <w:p w14:paraId="291ED783">
      <w:pPr>
        <w:pStyle w:val="2"/>
        <w:spacing w:line="243" w:lineRule="auto"/>
      </w:pPr>
    </w:p>
    <w:p w14:paraId="3E748203">
      <w:pPr>
        <w:spacing w:before="101" w:line="370" w:lineRule="auto"/>
        <w:ind w:left="25" w:right="16" w:firstLine="633"/>
        <w:jc w:val="both"/>
        <w:rPr>
          <w:rFonts w:ascii="仿宋" w:hAnsi="仿宋" w:eastAsia="仿宋" w:cs="仿宋"/>
          <w:sz w:val="31"/>
          <w:szCs w:val="31"/>
        </w:rPr>
      </w:pPr>
      <w:r>
        <w:rPr>
          <w:rFonts w:ascii="仿宋" w:hAnsi="仿宋" w:eastAsia="仿宋" w:cs="仿宋"/>
          <w:spacing w:val="9"/>
          <w:sz w:val="31"/>
          <w:szCs w:val="31"/>
        </w:rPr>
        <w:t>严格执行部、省矿产开发产业政策。按分类管理、突出重点的原则，对保护性开采、优势及产能过剩等</w:t>
      </w:r>
      <w:r>
        <w:rPr>
          <w:rFonts w:ascii="仿宋" w:hAnsi="仿宋" w:eastAsia="仿宋" w:cs="仿宋"/>
          <w:spacing w:val="8"/>
          <w:sz w:val="31"/>
          <w:szCs w:val="31"/>
        </w:rPr>
        <w:t>矿产执行差</w:t>
      </w:r>
      <w:r>
        <w:rPr>
          <w:rFonts w:ascii="仿宋" w:hAnsi="仿宋" w:eastAsia="仿宋" w:cs="仿宋"/>
          <w:spacing w:val="9"/>
          <w:sz w:val="31"/>
          <w:szCs w:val="31"/>
        </w:rPr>
        <w:t>别化产业政策。执行矿山开采最低规模设计标准</w:t>
      </w:r>
      <w:r>
        <w:rPr>
          <w:rFonts w:ascii="仿宋" w:hAnsi="仿宋" w:eastAsia="仿宋" w:cs="仿宋"/>
          <w:spacing w:val="8"/>
          <w:sz w:val="31"/>
          <w:szCs w:val="31"/>
        </w:rPr>
        <w:t>。坚持开采</w:t>
      </w:r>
      <w:r>
        <w:rPr>
          <w:rFonts w:ascii="仿宋" w:hAnsi="仿宋" w:eastAsia="仿宋" w:cs="仿宋"/>
          <w:spacing w:val="9"/>
          <w:sz w:val="31"/>
          <w:szCs w:val="31"/>
        </w:rPr>
        <w:t>规模与储量规模相适应的原则，严格执行矿山最</w:t>
      </w:r>
      <w:r>
        <w:rPr>
          <w:rFonts w:ascii="仿宋" w:hAnsi="仿宋" w:eastAsia="仿宋" w:cs="仿宋"/>
          <w:spacing w:val="8"/>
          <w:sz w:val="31"/>
          <w:szCs w:val="31"/>
        </w:rPr>
        <w:t>低开采规模制度，严禁大矿小开、一矿多开。</w:t>
      </w:r>
    </w:p>
    <w:p w14:paraId="6A582384">
      <w:pPr>
        <w:spacing w:before="3" w:line="335" w:lineRule="auto"/>
        <w:ind w:left="40" w:right="16" w:firstLine="630"/>
        <w:jc w:val="both"/>
        <w:rPr>
          <w:rFonts w:ascii="仿宋" w:hAnsi="仿宋" w:eastAsia="仿宋" w:cs="仿宋"/>
          <w:sz w:val="31"/>
          <w:szCs w:val="31"/>
        </w:rPr>
      </w:pPr>
      <w:r>
        <w:rPr>
          <w:rFonts w:ascii="微软雅黑" w:hAnsi="微软雅黑" w:eastAsia="微软雅黑" w:cs="微软雅黑"/>
          <w:spacing w:val="4"/>
          <w:position w:val="1"/>
          <w:sz w:val="31"/>
          <w:szCs w:val="31"/>
        </w:rPr>
        <w:t>锂矿:</w:t>
      </w:r>
      <w:r>
        <w:rPr>
          <w:rFonts w:ascii="微软雅黑" w:hAnsi="微软雅黑" w:eastAsia="微软雅黑" w:cs="微软雅黑"/>
          <w:spacing w:val="41"/>
          <w:position w:val="1"/>
          <w:sz w:val="31"/>
          <w:szCs w:val="31"/>
        </w:rPr>
        <w:t xml:space="preserve">  </w:t>
      </w:r>
      <w:r>
        <w:rPr>
          <w:rFonts w:ascii="仿宋" w:hAnsi="仿宋" w:eastAsia="仿宋" w:cs="仿宋"/>
          <w:spacing w:val="4"/>
          <w:sz w:val="31"/>
          <w:szCs w:val="31"/>
        </w:rPr>
        <w:t>不再新设小型规模矿山，</w:t>
      </w:r>
      <w:r>
        <w:rPr>
          <w:rFonts w:ascii="仿宋" w:hAnsi="仿宋" w:eastAsia="仿宋" w:cs="仿宋"/>
          <w:spacing w:val="-77"/>
          <w:sz w:val="31"/>
          <w:szCs w:val="31"/>
        </w:rPr>
        <w:t xml:space="preserve"> </w:t>
      </w:r>
      <w:r>
        <w:rPr>
          <w:rFonts w:ascii="仿宋" w:hAnsi="仿宋" w:eastAsia="仿宋" w:cs="仿宋"/>
          <w:spacing w:val="4"/>
          <w:sz w:val="31"/>
          <w:szCs w:val="31"/>
        </w:rPr>
        <w:t>已设小型矿山通过技术</w:t>
      </w:r>
      <w:r>
        <w:rPr>
          <w:rFonts w:ascii="仿宋" w:hAnsi="仿宋" w:eastAsia="仿宋" w:cs="仿宋"/>
          <w:spacing w:val="8"/>
          <w:sz w:val="31"/>
          <w:szCs w:val="31"/>
        </w:rPr>
        <w:t>改造升级，提升开采规模，与储量规模相匹配，不得低于中</w:t>
      </w:r>
      <w:r>
        <w:rPr>
          <w:rFonts w:ascii="仿宋" w:hAnsi="仿宋" w:eastAsia="仿宋" w:cs="仿宋"/>
          <w:spacing w:val="-1"/>
          <w:sz w:val="31"/>
          <w:szCs w:val="31"/>
        </w:rPr>
        <w:t>型规模。</w:t>
      </w:r>
    </w:p>
    <w:p w14:paraId="33EAA330">
      <w:pPr>
        <w:spacing w:before="1" w:line="320" w:lineRule="auto"/>
        <w:ind w:left="32" w:right="16" w:firstLine="631"/>
        <w:rPr>
          <w:rFonts w:ascii="仿宋" w:hAnsi="仿宋" w:eastAsia="仿宋" w:cs="仿宋"/>
          <w:sz w:val="31"/>
          <w:szCs w:val="31"/>
        </w:rPr>
      </w:pPr>
      <w:r>
        <w:rPr>
          <w:rFonts w:ascii="微软雅黑" w:hAnsi="微软雅黑" w:eastAsia="微软雅黑" w:cs="微软雅黑"/>
          <w:spacing w:val="7"/>
          <w:position w:val="1"/>
          <w:sz w:val="31"/>
          <w:szCs w:val="31"/>
        </w:rPr>
        <w:t>金矿:</w:t>
      </w:r>
      <w:r>
        <w:rPr>
          <w:rFonts w:ascii="微软雅黑" w:hAnsi="微软雅黑" w:eastAsia="微软雅黑" w:cs="微软雅黑"/>
          <w:spacing w:val="47"/>
          <w:position w:val="1"/>
          <w:sz w:val="31"/>
          <w:szCs w:val="31"/>
        </w:rPr>
        <w:t xml:space="preserve">  </w:t>
      </w:r>
      <w:r>
        <w:rPr>
          <w:rFonts w:ascii="仿宋" w:hAnsi="仿宋" w:eastAsia="仿宋" w:cs="仿宋"/>
          <w:spacing w:val="7"/>
          <w:sz w:val="31"/>
          <w:szCs w:val="31"/>
        </w:rPr>
        <w:t>立足稳定现有生产规模，逐步淘汰最低生产规模</w:t>
      </w:r>
      <w:r>
        <w:rPr>
          <w:rFonts w:ascii="仿宋" w:hAnsi="仿宋" w:eastAsia="仿宋" w:cs="仿宋"/>
          <w:spacing w:val="5"/>
          <w:sz w:val="31"/>
          <w:szCs w:val="31"/>
        </w:rPr>
        <w:t>不达标的矿山。</w:t>
      </w:r>
    </w:p>
    <w:p w14:paraId="1CBD1593">
      <w:pPr>
        <w:spacing w:before="1" w:line="320" w:lineRule="auto"/>
        <w:ind w:left="26" w:right="16" w:firstLine="631"/>
        <w:rPr>
          <w:rFonts w:ascii="仿宋" w:hAnsi="仿宋" w:eastAsia="仿宋" w:cs="仿宋"/>
          <w:sz w:val="31"/>
          <w:szCs w:val="31"/>
        </w:rPr>
      </w:pPr>
      <w:r>
        <w:rPr>
          <w:rFonts w:ascii="微软雅黑" w:hAnsi="微软雅黑" w:eastAsia="微软雅黑" w:cs="微软雅黑"/>
          <w:spacing w:val="8"/>
          <w:position w:val="1"/>
          <w:sz w:val="31"/>
          <w:szCs w:val="31"/>
        </w:rPr>
        <w:t>锰矿:</w:t>
      </w:r>
      <w:r>
        <w:rPr>
          <w:rFonts w:ascii="微软雅黑" w:hAnsi="微软雅黑" w:eastAsia="微软雅黑" w:cs="微软雅黑"/>
          <w:spacing w:val="38"/>
          <w:position w:val="1"/>
          <w:sz w:val="31"/>
          <w:szCs w:val="31"/>
        </w:rPr>
        <w:t xml:space="preserve">  </w:t>
      </w:r>
      <w:r>
        <w:rPr>
          <w:rFonts w:ascii="仿宋" w:hAnsi="仿宋" w:eastAsia="仿宋" w:cs="仿宋"/>
          <w:spacing w:val="8"/>
          <w:sz w:val="31"/>
          <w:szCs w:val="31"/>
        </w:rPr>
        <w:t>新设矿山要求开采规模与储量规模相适应，年开</w:t>
      </w:r>
      <w:r>
        <w:rPr>
          <w:rFonts w:ascii="仿宋" w:hAnsi="仿宋" w:eastAsia="仿宋" w:cs="仿宋"/>
          <w:spacing w:val="-2"/>
          <w:sz w:val="31"/>
          <w:szCs w:val="31"/>
        </w:rPr>
        <w:t>采量不低于</w:t>
      </w:r>
      <w:r>
        <w:rPr>
          <w:rFonts w:ascii="仿宋" w:hAnsi="仿宋" w:eastAsia="仿宋" w:cs="仿宋"/>
          <w:spacing w:val="-29"/>
          <w:sz w:val="31"/>
          <w:szCs w:val="31"/>
        </w:rPr>
        <w:t xml:space="preserve"> </w:t>
      </w:r>
      <w:r>
        <w:rPr>
          <w:rFonts w:ascii="仿宋" w:hAnsi="仿宋" w:eastAsia="仿宋" w:cs="仿宋"/>
          <w:spacing w:val="-2"/>
          <w:sz w:val="31"/>
          <w:szCs w:val="31"/>
        </w:rPr>
        <w:t>3</w:t>
      </w:r>
      <w:r>
        <w:rPr>
          <w:rFonts w:ascii="仿宋" w:hAnsi="仿宋" w:eastAsia="仿宋" w:cs="仿宋"/>
          <w:spacing w:val="-44"/>
          <w:sz w:val="31"/>
          <w:szCs w:val="31"/>
        </w:rPr>
        <w:t xml:space="preserve"> </w:t>
      </w:r>
      <w:r>
        <w:rPr>
          <w:rFonts w:ascii="仿宋" w:hAnsi="仿宋" w:eastAsia="仿宋" w:cs="仿宋"/>
          <w:spacing w:val="-2"/>
          <w:sz w:val="31"/>
          <w:szCs w:val="31"/>
        </w:rPr>
        <w:t>万吨。</w:t>
      </w:r>
    </w:p>
    <w:p w14:paraId="12ABF996">
      <w:pPr>
        <w:spacing w:before="1" w:line="319" w:lineRule="auto"/>
        <w:ind w:left="22" w:right="16" w:firstLine="559"/>
        <w:rPr>
          <w:rFonts w:ascii="仿宋" w:hAnsi="仿宋" w:eastAsia="仿宋" w:cs="仿宋"/>
          <w:sz w:val="31"/>
          <w:szCs w:val="31"/>
        </w:rPr>
      </w:pPr>
      <w:r>
        <w:rPr>
          <w:rFonts w:ascii="微软雅黑" w:hAnsi="微软雅黑" w:eastAsia="微软雅黑" w:cs="微软雅黑"/>
          <w:spacing w:val="12"/>
          <w:sz w:val="31"/>
          <w:szCs w:val="31"/>
        </w:rPr>
        <w:t>钨矿:</w:t>
      </w:r>
      <w:r>
        <w:rPr>
          <w:rFonts w:ascii="微软雅黑" w:hAnsi="微软雅黑" w:eastAsia="微软雅黑" w:cs="微软雅黑"/>
          <w:spacing w:val="30"/>
          <w:w w:val="101"/>
          <w:sz w:val="31"/>
          <w:szCs w:val="31"/>
        </w:rPr>
        <w:t xml:space="preserve">  </w:t>
      </w:r>
      <w:r>
        <w:rPr>
          <w:rFonts w:ascii="仿宋" w:hAnsi="仿宋" w:eastAsia="仿宋" w:cs="仿宋"/>
          <w:spacing w:val="12"/>
          <w:sz w:val="31"/>
          <w:szCs w:val="31"/>
        </w:rPr>
        <w:t>严格按照每年国家下达的开采量指标</w:t>
      </w:r>
      <w:r>
        <w:rPr>
          <w:rFonts w:ascii="仿宋" w:hAnsi="仿宋" w:eastAsia="仿宋" w:cs="仿宋"/>
          <w:spacing w:val="11"/>
          <w:sz w:val="31"/>
          <w:szCs w:val="31"/>
        </w:rPr>
        <w:t>进行生产规</w:t>
      </w:r>
      <w:r>
        <w:rPr>
          <w:rFonts w:ascii="仿宋" w:hAnsi="仿宋" w:eastAsia="仿宋" w:cs="仿宋"/>
          <w:spacing w:val="8"/>
          <w:sz w:val="31"/>
          <w:szCs w:val="31"/>
        </w:rPr>
        <w:t>模设计，不突破总量控制指标。</w:t>
      </w:r>
    </w:p>
    <w:p w14:paraId="190A1B18">
      <w:pPr>
        <w:spacing w:before="3" w:line="322" w:lineRule="auto"/>
        <w:ind w:left="33" w:right="98" w:firstLine="550"/>
        <w:rPr>
          <w:rFonts w:ascii="仿宋" w:hAnsi="仿宋" w:eastAsia="仿宋" w:cs="仿宋"/>
          <w:sz w:val="31"/>
          <w:szCs w:val="31"/>
        </w:rPr>
      </w:pPr>
      <w:r>
        <w:rPr>
          <w:rFonts w:ascii="微软雅黑" w:hAnsi="微软雅黑" w:eastAsia="微软雅黑" w:cs="微软雅黑"/>
          <w:spacing w:val="5"/>
          <w:position w:val="1"/>
          <w:sz w:val="31"/>
          <w:szCs w:val="31"/>
        </w:rPr>
        <w:t>水泥用灰岩:</w:t>
      </w:r>
      <w:r>
        <w:rPr>
          <w:rFonts w:ascii="微软雅黑" w:hAnsi="微软雅黑" w:eastAsia="微软雅黑" w:cs="微软雅黑"/>
          <w:spacing w:val="32"/>
          <w:position w:val="1"/>
          <w:sz w:val="31"/>
          <w:szCs w:val="31"/>
        </w:rPr>
        <w:t xml:space="preserve">  </w:t>
      </w:r>
      <w:r>
        <w:rPr>
          <w:rFonts w:ascii="仿宋" w:hAnsi="仿宋" w:eastAsia="仿宋" w:cs="仿宋"/>
          <w:spacing w:val="5"/>
          <w:sz w:val="31"/>
          <w:szCs w:val="31"/>
        </w:rPr>
        <w:t>严格落实省规划对水泥用灰岩的要求，</w:t>
      </w:r>
      <w:r>
        <w:rPr>
          <w:rFonts w:ascii="仿宋" w:hAnsi="仿宋" w:eastAsia="仿宋" w:cs="仿宋"/>
          <w:spacing w:val="-78"/>
          <w:sz w:val="31"/>
          <w:szCs w:val="31"/>
        </w:rPr>
        <w:t xml:space="preserve"> </w:t>
      </w:r>
      <w:r>
        <w:rPr>
          <w:rFonts w:ascii="仿宋" w:hAnsi="仿宋" w:eastAsia="仿宋" w:cs="仿宋"/>
          <w:spacing w:val="5"/>
          <w:sz w:val="31"/>
          <w:szCs w:val="31"/>
        </w:rPr>
        <w:t>已</w:t>
      </w:r>
      <w:r>
        <w:rPr>
          <w:rFonts w:ascii="仿宋" w:hAnsi="仿宋" w:eastAsia="仿宋" w:cs="仿宋"/>
          <w:spacing w:val="3"/>
          <w:sz w:val="31"/>
          <w:szCs w:val="31"/>
        </w:rPr>
        <w:t>有矿山开采规模提升至</w:t>
      </w:r>
      <w:r>
        <w:rPr>
          <w:rFonts w:ascii="仿宋" w:hAnsi="仿宋" w:eastAsia="仿宋" w:cs="仿宋"/>
          <w:spacing w:val="-35"/>
          <w:sz w:val="31"/>
          <w:szCs w:val="31"/>
        </w:rPr>
        <w:t xml:space="preserve"> </w:t>
      </w:r>
      <w:r>
        <w:rPr>
          <w:rFonts w:ascii="仿宋" w:hAnsi="仿宋" w:eastAsia="仿宋" w:cs="仿宋"/>
          <w:spacing w:val="3"/>
          <w:sz w:val="31"/>
          <w:szCs w:val="31"/>
        </w:rPr>
        <w:t>120</w:t>
      </w:r>
      <w:r>
        <w:rPr>
          <w:rFonts w:ascii="仿宋" w:hAnsi="仿宋" w:eastAsia="仿宋" w:cs="仿宋"/>
          <w:spacing w:val="-43"/>
          <w:sz w:val="31"/>
          <w:szCs w:val="31"/>
        </w:rPr>
        <w:t xml:space="preserve"> </w:t>
      </w:r>
      <w:r>
        <w:rPr>
          <w:rFonts w:ascii="仿宋" w:hAnsi="仿宋" w:eastAsia="仿宋" w:cs="仿宋"/>
          <w:spacing w:val="3"/>
          <w:sz w:val="31"/>
          <w:szCs w:val="31"/>
        </w:rPr>
        <w:t>万吨/年。</w:t>
      </w:r>
    </w:p>
    <w:p w14:paraId="6CEDC6F7">
      <w:pPr>
        <w:spacing w:line="322" w:lineRule="auto"/>
        <w:rPr>
          <w:rFonts w:ascii="仿宋" w:hAnsi="仿宋" w:eastAsia="仿宋" w:cs="仿宋"/>
          <w:sz w:val="31"/>
          <w:szCs w:val="31"/>
        </w:rPr>
        <w:sectPr>
          <w:footerReference r:id="rId35" w:type="default"/>
          <w:pgSz w:w="11904" w:h="16835"/>
          <w:pgMar w:top="1430" w:right="1785" w:bottom="1289" w:left="1785" w:header="0" w:footer="923" w:gutter="0"/>
          <w:cols w:space="720" w:num="1"/>
        </w:sectPr>
      </w:pPr>
    </w:p>
    <w:p w14:paraId="3EDD195D">
      <w:pPr>
        <w:spacing w:before="127" w:line="322" w:lineRule="auto"/>
        <w:ind w:left="138" w:right="140" w:firstLine="548"/>
        <w:rPr>
          <w:rFonts w:ascii="仿宋" w:hAnsi="仿宋" w:eastAsia="仿宋" w:cs="仿宋"/>
          <w:sz w:val="31"/>
          <w:szCs w:val="31"/>
        </w:rPr>
      </w:pPr>
      <w:r>
        <w:rPr>
          <w:rFonts w:ascii="微软雅黑" w:hAnsi="微软雅黑" w:eastAsia="微软雅黑" w:cs="微软雅黑"/>
          <w:spacing w:val="8"/>
          <w:position w:val="1"/>
          <w:sz w:val="31"/>
          <w:szCs w:val="31"/>
        </w:rPr>
        <w:t>饰面用石材:</w:t>
      </w:r>
      <w:r>
        <w:rPr>
          <w:rFonts w:ascii="微软雅黑" w:hAnsi="微软雅黑" w:eastAsia="微软雅黑" w:cs="微软雅黑"/>
          <w:spacing w:val="37"/>
          <w:position w:val="1"/>
          <w:sz w:val="31"/>
          <w:szCs w:val="31"/>
        </w:rPr>
        <w:t xml:space="preserve">  </w:t>
      </w:r>
      <w:r>
        <w:rPr>
          <w:rFonts w:ascii="仿宋" w:hAnsi="仿宋" w:eastAsia="仿宋" w:cs="仿宋"/>
          <w:spacing w:val="8"/>
          <w:sz w:val="31"/>
          <w:szCs w:val="31"/>
        </w:rPr>
        <w:t>不再新设小型规模的大理岩、花岗岩</w:t>
      </w:r>
      <w:r>
        <w:rPr>
          <w:rFonts w:ascii="仿宋" w:hAnsi="仿宋" w:eastAsia="仿宋" w:cs="仿宋"/>
          <w:spacing w:val="7"/>
          <w:sz w:val="31"/>
          <w:szCs w:val="31"/>
        </w:rPr>
        <w:t>、灰</w:t>
      </w:r>
      <w:bookmarkStart w:id="32" w:name="bookmark21"/>
      <w:bookmarkEnd w:id="32"/>
      <w:r>
        <w:rPr>
          <w:rFonts w:ascii="仿宋" w:hAnsi="仿宋" w:eastAsia="仿宋" w:cs="仿宋"/>
          <w:spacing w:val="5"/>
          <w:sz w:val="31"/>
          <w:szCs w:val="31"/>
        </w:rPr>
        <w:t>岩矿山，新设矿山开采规模不低于</w:t>
      </w:r>
      <w:r>
        <w:rPr>
          <w:rFonts w:ascii="仿宋" w:hAnsi="仿宋" w:eastAsia="仿宋" w:cs="仿宋"/>
          <w:spacing w:val="-35"/>
          <w:sz w:val="31"/>
          <w:szCs w:val="31"/>
        </w:rPr>
        <w:t xml:space="preserve"> </w:t>
      </w:r>
      <w:r>
        <w:rPr>
          <w:rFonts w:ascii="仿宋" w:hAnsi="仿宋" w:eastAsia="仿宋" w:cs="仿宋"/>
          <w:spacing w:val="5"/>
          <w:sz w:val="31"/>
          <w:szCs w:val="31"/>
        </w:rPr>
        <w:t>5</w:t>
      </w:r>
      <w:r>
        <w:rPr>
          <w:rFonts w:ascii="仿宋" w:hAnsi="仿宋" w:eastAsia="仿宋" w:cs="仿宋"/>
          <w:spacing w:val="-43"/>
          <w:sz w:val="31"/>
          <w:szCs w:val="31"/>
        </w:rPr>
        <w:t xml:space="preserve"> </w:t>
      </w:r>
      <w:r>
        <w:rPr>
          <w:rFonts w:ascii="仿宋" w:hAnsi="仿宋" w:eastAsia="仿宋" w:cs="仿宋"/>
          <w:spacing w:val="5"/>
          <w:sz w:val="31"/>
          <w:szCs w:val="31"/>
        </w:rPr>
        <w:t>万立方米/年。</w:t>
      </w:r>
    </w:p>
    <w:p w14:paraId="5A72CDAE">
      <w:pPr>
        <w:spacing w:line="212" w:lineRule="exact"/>
      </w:pPr>
    </w:p>
    <w:p w14:paraId="71C93602">
      <w:pPr>
        <w:spacing w:line="212" w:lineRule="exact"/>
        <w:sectPr>
          <w:footerReference r:id="rId36" w:type="default"/>
          <w:pgSz w:w="11904" w:h="16835"/>
          <w:pgMar w:top="1430" w:right="1742" w:bottom="1289" w:left="1679" w:header="0" w:footer="923" w:gutter="0"/>
          <w:cols w:equalWidth="0" w:num="1">
            <w:col w:w="8481"/>
          </w:cols>
        </w:sectPr>
      </w:pPr>
    </w:p>
    <w:p w14:paraId="69744A0C">
      <w:pPr>
        <w:spacing w:before="64" w:line="320" w:lineRule="exact"/>
        <w:jc w:val="right"/>
        <w:outlineLvl w:val="0"/>
        <w:rPr>
          <w:rFonts w:ascii="微软雅黑" w:hAnsi="微软雅黑" w:eastAsia="微软雅黑" w:cs="微软雅黑"/>
          <w:sz w:val="30"/>
          <w:szCs w:val="30"/>
        </w:rPr>
      </w:pPr>
      <w:bookmarkStart w:id="33" w:name="bookmark41"/>
      <w:bookmarkEnd w:id="33"/>
      <w:r>
        <w:rPr>
          <w:rFonts w:ascii="微软雅黑" w:hAnsi="微软雅黑" w:eastAsia="微软雅黑" w:cs="微软雅黑"/>
          <w:spacing w:val="5"/>
          <w:position w:val="-1"/>
          <w:sz w:val="30"/>
          <w:szCs w:val="30"/>
        </w:rPr>
        <w:t>第三节</w:t>
      </w:r>
      <w:r>
        <w:rPr>
          <w:rFonts w:ascii="微软雅黑" w:hAnsi="微软雅黑" w:eastAsia="微软雅黑" w:cs="微软雅黑"/>
          <w:spacing w:val="87"/>
          <w:position w:val="-1"/>
          <w:sz w:val="30"/>
          <w:szCs w:val="30"/>
        </w:rPr>
        <w:t xml:space="preserve"> </w:t>
      </w:r>
      <w:r>
        <w:rPr>
          <w:rFonts w:ascii="微软雅黑" w:hAnsi="微软雅黑" w:eastAsia="微软雅黑" w:cs="微软雅黑"/>
          <w:spacing w:val="5"/>
          <w:position w:val="-1"/>
          <w:sz w:val="30"/>
          <w:szCs w:val="30"/>
        </w:rPr>
        <w:t>严格砂石</w:t>
      </w:r>
    </w:p>
    <w:p w14:paraId="4CA4C5E4">
      <w:pPr>
        <w:spacing w:line="65" w:lineRule="exact"/>
      </w:pPr>
    </w:p>
    <w:p w14:paraId="281E403D">
      <w:pPr>
        <w:pStyle w:val="2"/>
        <w:spacing w:line="14" w:lineRule="auto"/>
        <w:rPr>
          <w:sz w:val="2"/>
        </w:rPr>
      </w:pPr>
      <w:r>
        <w:rPr>
          <w:sz w:val="2"/>
          <w:szCs w:val="2"/>
        </w:rPr>
        <w:br w:type="column"/>
      </w:r>
    </w:p>
    <w:p w14:paraId="4335BE5C">
      <w:pPr>
        <w:spacing w:before="63" w:line="321" w:lineRule="exact"/>
        <w:outlineLvl w:val="0"/>
        <w:rPr>
          <w:rFonts w:ascii="微软雅黑" w:hAnsi="微软雅黑" w:eastAsia="微软雅黑" w:cs="微软雅黑"/>
          <w:sz w:val="30"/>
          <w:szCs w:val="30"/>
        </w:rPr>
      </w:pPr>
      <w:bookmarkStart w:id="34" w:name="bookmark41"/>
      <w:bookmarkEnd w:id="34"/>
      <w:r>
        <w:rPr>
          <w:rFonts w:ascii="微软雅黑" w:hAnsi="微软雅黑" w:eastAsia="微软雅黑" w:cs="微软雅黑"/>
          <w:spacing w:val="13"/>
          <w:position w:val="-1"/>
          <w:sz w:val="30"/>
          <w:szCs w:val="30"/>
        </w:rPr>
        <w:t>土资源开发利用管控</w:t>
      </w:r>
    </w:p>
    <w:p w14:paraId="2C248662">
      <w:pPr>
        <w:spacing w:line="321" w:lineRule="exact"/>
        <w:rPr>
          <w:rFonts w:ascii="微软雅黑" w:hAnsi="微软雅黑" w:eastAsia="微软雅黑" w:cs="微软雅黑"/>
          <w:sz w:val="30"/>
          <w:szCs w:val="30"/>
        </w:rPr>
        <w:sectPr>
          <w:type w:val="continuous"/>
          <w:pgSz w:w="11904" w:h="16835"/>
          <w:pgMar w:top="1430" w:right="1742" w:bottom="1289" w:left="1679" w:header="0" w:footer="923" w:gutter="0"/>
          <w:cols w:equalWidth="0" w:num="2">
            <w:col w:w="4314" w:space="58"/>
            <w:col w:w="4110"/>
          </w:cols>
        </w:sectPr>
      </w:pPr>
    </w:p>
    <w:p w14:paraId="37DFE8DB">
      <w:pPr>
        <w:pStyle w:val="2"/>
        <w:spacing w:line="377" w:lineRule="auto"/>
      </w:pPr>
    </w:p>
    <w:p w14:paraId="02133362">
      <w:pPr>
        <w:spacing w:before="133" w:line="350" w:lineRule="auto"/>
        <w:ind w:left="132" w:firstLine="638"/>
        <w:jc w:val="both"/>
        <w:rPr>
          <w:rFonts w:ascii="仿宋" w:hAnsi="仿宋" w:eastAsia="仿宋" w:cs="仿宋"/>
          <w:sz w:val="31"/>
          <w:szCs w:val="31"/>
        </w:rPr>
      </w:pPr>
      <w:r>
        <w:rPr>
          <w:rFonts w:ascii="微软雅黑" w:hAnsi="微软雅黑" w:eastAsia="微软雅黑" w:cs="微软雅黑"/>
          <w:spacing w:val="5"/>
          <w:sz w:val="31"/>
          <w:szCs w:val="31"/>
        </w:rPr>
        <w:t>宏观调控砂石土资源规模与总量</w:t>
      </w:r>
      <w:r>
        <w:rPr>
          <w:rFonts w:ascii="微软雅黑" w:hAnsi="微软雅黑" w:eastAsia="微软雅黑" w:cs="微软雅黑"/>
          <w:spacing w:val="-27"/>
          <w:sz w:val="31"/>
          <w:szCs w:val="31"/>
        </w:rPr>
        <w:t xml:space="preserve"> </w:t>
      </w:r>
      <w:r>
        <w:rPr>
          <w:rFonts w:ascii="微软雅黑" w:hAnsi="微软雅黑" w:eastAsia="微软雅黑" w:cs="微软雅黑"/>
          <w:spacing w:val="5"/>
          <w:sz w:val="31"/>
          <w:szCs w:val="31"/>
        </w:rPr>
        <w:t>。</w:t>
      </w:r>
      <w:r>
        <w:rPr>
          <w:rFonts w:ascii="微软雅黑" w:hAnsi="微软雅黑" w:eastAsia="微软雅黑" w:cs="微软雅黑"/>
          <w:spacing w:val="-57"/>
          <w:sz w:val="31"/>
          <w:szCs w:val="31"/>
        </w:rPr>
        <w:t xml:space="preserve"> </w:t>
      </w:r>
      <w:r>
        <w:rPr>
          <w:rFonts w:ascii="仿宋" w:hAnsi="仿宋" w:eastAsia="仿宋" w:cs="仿宋"/>
          <w:spacing w:val="5"/>
          <w:sz w:val="31"/>
          <w:szCs w:val="31"/>
        </w:rPr>
        <w:t>落实省级规划分配的</w:t>
      </w:r>
      <w:r>
        <w:rPr>
          <w:rFonts w:ascii="仿宋" w:hAnsi="仿宋" w:eastAsia="仿宋" w:cs="仿宋"/>
          <w:spacing w:val="-1"/>
          <w:sz w:val="31"/>
          <w:szCs w:val="31"/>
        </w:rPr>
        <w:t>开采总量指标：到2025年机制砂石矿山数量控制在10个以内，</w:t>
      </w:r>
      <w:r>
        <w:rPr>
          <w:rFonts w:ascii="仿宋" w:hAnsi="仿宋" w:eastAsia="仿宋" w:cs="仿宋"/>
          <w:spacing w:val="-6"/>
          <w:sz w:val="31"/>
          <w:szCs w:val="31"/>
        </w:rPr>
        <w:t>产能稳定在 330 万吨左右，砖瓦用建材矿山数量不超过</w:t>
      </w:r>
      <w:r>
        <w:rPr>
          <w:rFonts w:ascii="仿宋" w:hAnsi="仿宋" w:eastAsia="仿宋" w:cs="仿宋"/>
          <w:spacing w:val="-65"/>
          <w:sz w:val="31"/>
          <w:szCs w:val="31"/>
        </w:rPr>
        <w:t xml:space="preserve"> </w:t>
      </w:r>
      <w:r>
        <w:rPr>
          <w:rFonts w:ascii="仿宋" w:hAnsi="仿宋" w:eastAsia="仿宋" w:cs="仿宋"/>
          <w:spacing w:val="-6"/>
          <w:sz w:val="31"/>
          <w:szCs w:val="31"/>
        </w:rPr>
        <w:t>2</w:t>
      </w:r>
      <w:r>
        <w:rPr>
          <w:rFonts w:ascii="仿宋" w:hAnsi="仿宋" w:eastAsia="仿宋" w:cs="仿宋"/>
          <w:spacing w:val="-88"/>
          <w:sz w:val="31"/>
          <w:szCs w:val="31"/>
        </w:rPr>
        <w:t xml:space="preserve"> </w:t>
      </w:r>
      <w:r>
        <w:rPr>
          <w:rFonts w:ascii="仿宋" w:hAnsi="仿宋" w:eastAsia="仿宋" w:cs="仿宋"/>
          <w:spacing w:val="-6"/>
          <w:sz w:val="31"/>
          <w:szCs w:val="31"/>
        </w:rPr>
        <w:t>个。</w:t>
      </w:r>
      <w:r>
        <w:rPr>
          <w:rFonts w:ascii="仿宋" w:hAnsi="仿宋" w:eastAsia="仿宋" w:cs="仿宋"/>
          <w:spacing w:val="-3"/>
          <w:sz w:val="31"/>
          <w:szCs w:val="31"/>
        </w:rPr>
        <w:t>未分配至各县的剩余指标根据各县建设项目需求，后期规划调</w:t>
      </w:r>
      <w:r>
        <w:rPr>
          <w:rFonts w:ascii="仿宋" w:hAnsi="仿宋" w:eastAsia="仿宋" w:cs="仿宋"/>
          <w:spacing w:val="-1"/>
          <w:sz w:val="31"/>
          <w:szCs w:val="31"/>
        </w:rPr>
        <w:t>整可进行统筹安排。</w:t>
      </w:r>
    </w:p>
    <w:p w14:paraId="60A08413">
      <w:pPr>
        <w:spacing w:line="233" w:lineRule="exact"/>
      </w:pPr>
    </w:p>
    <w:tbl>
      <w:tblPr>
        <w:tblStyle w:val="5"/>
        <w:tblW w:w="79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9"/>
        <w:gridCol w:w="2091"/>
        <w:gridCol w:w="1947"/>
        <w:gridCol w:w="2275"/>
      </w:tblGrid>
      <w:tr w14:paraId="343FC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7972" w:type="dxa"/>
            <w:gridSpan w:val="4"/>
            <w:shd w:val="clear" w:color="auto" w:fill="9FD3A4"/>
            <w:vAlign w:val="top"/>
          </w:tcPr>
          <w:p w14:paraId="1CA29B6F">
            <w:pPr>
              <w:spacing w:before="168" w:line="223" w:lineRule="auto"/>
              <w:ind w:left="1839"/>
              <w:rPr>
                <w:rFonts w:ascii="黑体" w:hAnsi="黑体" w:eastAsia="黑体" w:cs="黑体"/>
                <w:sz w:val="28"/>
                <w:szCs w:val="28"/>
              </w:rPr>
            </w:pPr>
            <w:r>
              <w:rPr>
                <w:rFonts w:ascii="黑体" w:hAnsi="黑体" w:eastAsia="黑体" w:cs="黑体"/>
                <w:spacing w:val="3"/>
                <w:sz w:val="28"/>
                <w:szCs w:val="28"/>
              </w:rPr>
              <w:t>专栏9 阿坝州砂石土资源开采调控表</w:t>
            </w:r>
          </w:p>
        </w:tc>
      </w:tr>
      <w:tr w14:paraId="36105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659" w:type="dxa"/>
            <w:vAlign w:val="top"/>
          </w:tcPr>
          <w:p w14:paraId="64B472DB">
            <w:pPr>
              <w:pStyle w:val="6"/>
              <w:spacing w:before="30" w:line="225" w:lineRule="auto"/>
              <w:ind w:left="379"/>
              <w:rPr>
                <w:sz w:val="23"/>
                <w:szCs w:val="23"/>
              </w:rPr>
            </w:pPr>
            <w:r>
              <w:rPr>
                <w:spacing w:val="10"/>
                <w:sz w:val="23"/>
                <w:szCs w:val="23"/>
              </w:rPr>
              <w:t>市（县）</w:t>
            </w:r>
          </w:p>
        </w:tc>
        <w:tc>
          <w:tcPr>
            <w:tcW w:w="4038" w:type="dxa"/>
            <w:gridSpan w:val="2"/>
            <w:vAlign w:val="top"/>
          </w:tcPr>
          <w:p w14:paraId="068D5AB6">
            <w:pPr>
              <w:pStyle w:val="6"/>
              <w:spacing w:before="29" w:line="227" w:lineRule="auto"/>
              <w:ind w:left="1796"/>
              <w:rPr>
                <w:sz w:val="23"/>
                <w:szCs w:val="23"/>
              </w:rPr>
            </w:pPr>
            <w:r>
              <w:rPr>
                <w:spacing w:val="4"/>
                <w:sz w:val="23"/>
                <w:szCs w:val="23"/>
              </w:rPr>
              <w:t>砂石</w:t>
            </w:r>
          </w:p>
        </w:tc>
        <w:tc>
          <w:tcPr>
            <w:tcW w:w="2275" w:type="dxa"/>
            <w:vAlign w:val="top"/>
          </w:tcPr>
          <w:p w14:paraId="4D2ED2CF">
            <w:pPr>
              <w:pStyle w:val="6"/>
              <w:spacing w:before="29" w:line="226" w:lineRule="auto"/>
              <w:ind w:left="553"/>
              <w:rPr>
                <w:sz w:val="23"/>
                <w:szCs w:val="23"/>
              </w:rPr>
            </w:pPr>
            <w:r>
              <w:rPr>
                <w:spacing w:val="7"/>
                <w:sz w:val="23"/>
                <w:szCs w:val="23"/>
              </w:rPr>
              <w:t>砖瓦用建材</w:t>
            </w:r>
          </w:p>
        </w:tc>
      </w:tr>
      <w:tr w14:paraId="276AC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659" w:type="dxa"/>
            <w:vAlign w:val="top"/>
          </w:tcPr>
          <w:p w14:paraId="632EBBBF">
            <w:pPr>
              <w:pStyle w:val="6"/>
              <w:spacing w:before="183" w:line="225" w:lineRule="auto"/>
              <w:ind w:left="379"/>
              <w:rPr>
                <w:sz w:val="23"/>
                <w:szCs w:val="23"/>
              </w:rPr>
            </w:pPr>
            <w:r>
              <w:rPr>
                <w:spacing w:val="10"/>
                <w:sz w:val="23"/>
                <w:szCs w:val="23"/>
              </w:rPr>
              <w:t>市（县）</w:t>
            </w:r>
          </w:p>
        </w:tc>
        <w:tc>
          <w:tcPr>
            <w:tcW w:w="2091" w:type="dxa"/>
            <w:vAlign w:val="top"/>
          </w:tcPr>
          <w:p w14:paraId="54965965">
            <w:pPr>
              <w:pStyle w:val="6"/>
              <w:spacing w:before="24" w:line="225" w:lineRule="auto"/>
              <w:ind w:left="197"/>
              <w:rPr>
                <w:sz w:val="23"/>
                <w:szCs w:val="23"/>
              </w:rPr>
            </w:pPr>
            <w:r>
              <w:rPr>
                <w:spacing w:val="4"/>
                <w:sz w:val="23"/>
                <w:szCs w:val="23"/>
              </w:rPr>
              <w:t>2025</w:t>
            </w:r>
            <w:r>
              <w:rPr>
                <w:spacing w:val="-39"/>
                <w:sz w:val="23"/>
                <w:szCs w:val="23"/>
              </w:rPr>
              <w:t xml:space="preserve"> </w:t>
            </w:r>
            <w:r>
              <w:rPr>
                <w:spacing w:val="4"/>
                <w:sz w:val="23"/>
                <w:szCs w:val="23"/>
              </w:rPr>
              <w:t>年底矿山数</w:t>
            </w:r>
          </w:p>
          <w:p w14:paraId="065A68C5">
            <w:pPr>
              <w:pStyle w:val="6"/>
              <w:spacing w:before="31" w:line="226" w:lineRule="auto"/>
              <w:ind w:left="582"/>
              <w:rPr>
                <w:sz w:val="23"/>
                <w:szCs w:val="23"/>
              </w:rPr>
            </w:pPr>
            <w:r>
              <w:rPr>
                <w:spacing w:val="4"/>
                <w:sz w:val="23"/>
                <w:szCs w:val="23"/>
              </w:rPr>
              <w:t>量（个）</w:t>
            </w:r>
          </w:p>
        </w:tc>
        <w:tc>
          <w:tcPr>
            <w:tcW w:w="1947" w:type="dxa"/>
            <w:vAlign w:val="top"/>
          </w:tcPr>
          <w:p w14:paraId="4F305B50">
            <w:pPr>
              <w:pStyle w:val="6"/>
              <w:spacing w:before="24" w:line="244" w:lineRule="auto"/>
              <w:ind w:left="391" w:right="125" w:hanging="238"/>
              <w:rPr>
                <w:sz w:val="23"/>
                <w:szCs w:val="23"/>
              </w:rPr>
            </w:pPr>
            <w:r>
              <w:rPr>
                <w:spacing w:val="7"/>
                <w:sz w:val="23"/>
                <w:szCs w:val="23"/>
              </w:rPr>
              <w:t>规划期年均开采</w:t>
            </w:r>
            <w:r>
              <w:rPr>
                <w:sz w:val="23"/>
                <w:szCs w:val="23"/>
              </w:rPr>
              <w:t>量（</w:t>
            </w:r>
            <w:r>
              <w:rPr>
                <w:spacing w:val="-60"/>
                <w:sz w:val="23"/>
                <w:szCs w:val="23"/>
              </w:rPr>
              <w:t xml:space="preserve"> </w:t>
            </w:r>
            <w:r>
              <w:rPr>
                <w:sz w:val="23"/>
                <w:szCs w:val="23"/>
              </w:rPr>
              <w:t>万吨）</w:t>
            </w:r>
          </w:p>
        </w:tc>
        <w:tc>
          <w:tcPr>
            <w:tcW w:w="2275" w:type="dxa"/>
            <w:vAlign w:val="top"/>
          </w:tcPr>
          <w:p w14:paraId="39C6580C">
            <w:pPr>
              <w:pStyle w:val="6"/>
              <w:spacing w:before="24" w:line="225" w:lineRule="auto"/>
              <w:ind w:left="171"/>
              <w:rPr>
                <w:sz w:val="23"/>
                <w:szCs w:val="23"/>
              </w:rPr>
            </w:pPr>
            <w:r>
              <w:rPr>
                <w:spacing w:val="4"/>
                <w:sz w:val="23"/>
                <w:szCs w:val="23"/>
              </w:rPr>
              <w:t>2025</w:t>
            </w:r>
            <w:r>
              <w:rPr>
                <w:spacing w:val="-38"/>
                <w:sz w:val="23"/>
                <w:szCs w:val="23"/>
              </w:rPr>
              <w:t xml:space="preserve"> </w:t>
            </w:r>
            <w:r>
              <w:rPr>
                <w:spacing w:val="4"/>
                <w:sz w:val="23"/>
                <w:szCs w:val="23"/>
              </w:rPr>
              <w:t>年底矿山数量</w:t>
            </w:r>
          </w:p>
          <w:p w14:paraId="04C8A958">
            <w:pPr>
              <w:pStyle w:val="6"/>
              <w:spacing w:before="31" w:line="226" w:lineRule="auto"/>
              <w:ind w:left="786"/>
              <w:rPr>
                <w:sz w:val="23"/>
                <w:szCs w:val="23"/>
              </w:rPr>
            </w:pPr>
            <w:r>
              <w:rPr>
                <w:spacing w:val="6"/>
                <w:sz w:val="23"/>
                <w:szCs w:val="23"/>
              </w:rPr>
              <w:t>（个）</w:t>
            </w:r>
          </w:p>
        </w:tc>
      </w:tr>
      <w:tr w14:paraId="48912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59" w:type="dxa"/>
            <w:vAlign w:val="top"/>
          </w:tcPr>
          <w:p w14:paraId="5D8E2690">
            <w:pPr>
              <w:pStyle w:val="6"/>
              <w:spacing w:before="35" w:line="225" w:lineRule="auto"/>
              <w:ind w:left="498"/>
              <w:rPr>
                <w:sz w:val="23"/>
                <w:szCs w:val="23"/>
              </w:rPr>
            </w:pPr>
            <w:r>
              <w:rPr>
                <w:spacing w:val="3"/>
                <w:sz w:val="23"/>
                <w:szCs w:val="23"/>
              </w:rPr>
              <w:t>汶川县</w:t>
            </w:r>
          </w:p>
        </w:tc>
        <w:tc>
          <w:tcPr>
            <w:tcW w:w="2091" w:type="dxa"/>
            <w:vAlign w:val="top"/>
          </w:tcPr>
          <w:p w14:paraId="267ADDE8">
            <w:pPr>
              <w:pStyle w:val="6"/>
              <w:spacing w:before="34" w:line="241" w:lineRule="auto"/>
              <w:ind w:left="1014"/>
              <w:rPr>
                <w:sz w:val="23"/>
                <w:szCs w:val="23"/>
              </w:rPr>
            </w:pPr>
            <w:r>
              <w:rPr>
                <w:sz w:val="23"/>
                <w:szCs w:val="23"/>
              </w:rPr>
              <w:t>1</w:t>
            </w:r>
          </w:p>
        </w:tc>
        <w:tc>
          <w:tcPr>
            <w:tcW w:w="1947" w:type="dxa"/>
            <w:vAlign w:val="top"/>
          </w:tcPr>
          <w:p w14:paraId="02110168">
            <w:pPr>
              <w:pStyle w:val="6"/>
              <w:spacing w:before="20" w:line="304" w:lineRule="exact"/>
              <w:ind w:left="878"/>
              <w:rPr>
                <w:sz w:val="23"/>
                <w:szCs w:val="23"/>
              </w:rPr>
            </w:pPr>
            <w:r>
              <w:rPr>
                <w:spacing w:val="-6"/>
                <w:position w:val="1"/>
                <w:sz w:val="23"/>
                <w:szCs w:val="23"/>
              </w:rPr>
              <w:t>50</w:t>
            </w:r>
          </w:p>
        </w:tc>
        <w:tc>
          <w:tcPr>
            <w:tcW w:w="2275" w:type="dxa"/>
            <w:vAlign w:val="top"/>
          </w:tcPr>
          <w:p w14:paraId="265730E5">
            <w:pPr>
              <w:pStyle w:val="6"/>
              <w:spacing w:before="20" w:line="229" w:lineRule="auto"/>
              <w:ind w:left="1096"/>
              <w:rPr>
                <w:sz w:val="23"/>
                <w:szCs w:val="23"/>
              </w:rPr>
            </w:pPr>
            <w:r>
              <w:rPr>
                <w:sz w:val="23"/>
                <w:szCs w:val="23"/>
              </w:rPr>
              <w:t>/</w:t>
            </w:r>
          </w:p>
        </w:tc>
      </w:tr>
      <w:tr w14:paraId="1C20B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659" w:type="dxa"/>
            <w:vAlign w:val="top"/>
          </w:tcPr>
          <w:p w14:paraId="4BEF39CE">
            <w:pPr>
              <w:pStyle w:val="6"/>
              <w:spacing w:before="30" w:line="226" w:lineRule="auto"/>
              <w:ind w:left="611"/>
              <w:rPr>
                <w:sz w:val="23"/>
                <w:szCs w:val="23"/>
              </w:rPr>
            </w:pPr>
            <w:r>
              <w:rPr>
                <w:spacing w:val="3"/>
                <w:sz w:val="23"/>
                <w:szCs w:val="23"/>
              </w:rPr>
              <w:t>理县</w:t>
            </w:r>
          </w:p>
        </w:tc>
        <w:tc>
          <w:tcPr>
            <w:tcW w:w="2091" w:type="dxa"/>
            <w:vAlign w:val="top"/>
          </w:tcPr>
          <w:p w14:paraId="180A3A06">
            <w:pPr>
              <w:pStyle w:val="6"/>
              <w:spacing w:before="30" w:line="229" w:lineRule="auto"/>
              <w:ind w:left="1007"/>
              <w:rPr>
                <w:sz w:val="23"/>
                <w:szCs w:val="23"/>
              </w:rPr>
            </w:pPr>
            <w:r>
              <w:rPr>
                <w:sz w:val="23"/>
                <w:szCs w:val="23"/>
              </w:rPr>
              <w:t>/</w:t>
            </w:r>
          </w:p>
        </w:tc>
        <w:tc>
          <w:tcPr>
            <w:tcW w:w="1947" w:type="dxa"/>
            <w:vAlign w:val="top"/>
          </w:tcPr>
          <w:p w14:paraId="2541FF0D">
            <w:pPr>
              <w:pStyle w:val="6"/>
              <w:spacing w:before="16" w:line="304" w:lineRule="exact"/>
              <w:ind w:left="945"/>
              <w:rPr>
                <w:sz w:val="23"/>
                <w:szCs w:val="23"/>
              </w:rPr>
            </w:pPr>
            <w:r>
              <w:rPr>
                <w:position w:val="1"/>
                <w:sz w:val="23"/>
                <w:szCs w:val="23"/>
              </w:rPr>
              <w:t>0</w:t>
            </w:r>
          </w:p>
        </w:tc>
        <w:tc>
          <w:tcPr>
            <w:tcW w:w="2275" w:type="dxa"/>
            <w:vAlign w:val="top"/>
          </w:tcPr>
          <w:p w14:paraId="7F42FB84">
            <w:pPr>
              <w:pStyle w:val="6"/>
              <w:spacing w:before="15" w:line="229" w:lineRule="auto"/>
              <w:ind w:left="1096"/>
              <w:rPr>
                <w:sz w:val="23"/>
                <w:szCs w:val="23"/>
              </w:rPr>
            </w:pPr>
            <w:r>
              <w:rPr>
                <w:sz w:val="23"/>
                <w:szCs w:val="23"/>
              </w:rPr>
              <w:t>/</w:t>
            </w:r>
          </w:p>
        </w:tc>
      </w:tr>
      <w:tr w14:paraId="02FA1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04C7B45A">
            <w:pPr>
              <w:pStyle w:val="6"/>
              <w:spacing w:before="29" w:line="226" w:lineRule="auto"/>
              <w:ind w:left="610"/>
              <w:rPr>
                <w:sz w:val="23"/>
                <w:szCs w:val="23"/>
              </w:rPr>
            </w:pPr>
            <w:r>
              <w:rPr>
                <w:spacing w:val="4"/>
                <w:sz w:val="23"/>
                <w:szCs w:val="23"/>
              </w:rPr>
              <w:t>茂县</w:t>
            </w:r>
          </w:p>
        </w:tc>
        <w:tc>
          <w:tcPr>
            <w:tcW w:w="2091" w:type="dxa"/>
            <w:vAlign w:val="top"/>
          </w:tcPr>
          <w:p w14:paraId="5108E7CA">
            <w:pPr>
              <w:pStyle w:val="6"/>
              <w:spacing w:before="29" w:line="241" w:lineRule="auto"/>
              <w:ind w:left="1008"/>
              <w:rPr>
                <w:sz w:val="23"/>
                <w:szCs w:val="23"/>
              </w:rPr>
            </w:pPr>
            <w:r>
              <w:rPr>
                <w:sz w:val="23"/>
                <w:szCs w:val="23"/>
              </w:rPr>
              <w:t>2</w:t>
            </w:r>
          </w:p>
        </w:tc>
        <w:tc>
          <w:tcPr>
            <w:tcW w:w="1947" w:type="dxa"/>
            <w:vAlign w:val="top"/>
          </w:tcPr>
          <w:p w14:paraId="64371604">
            <w:pPr>
              <w:pStyle w:val="6"/>
              <w:spacing w:before="20" w:line="304" w:lineRule="exact"/>
              <w:ind w:left="823"/>
              <w:rPr>
                <w:sz w:val="23"/>
                <w:szCs w:val="23"/>
              </w:rPr>
            </w:pPr>
            <w:r>
              <w:rPr>
                <w:spacing w:val="-4"/>
                <w:position w:val="1"/>
                <w:sz w:val="23"/>
                <w:szCs w:val="23"/>
              </w:rPr>
              <w:t>100</w:t>
            </w:r>
          </w:p>
        </w:tc>
        <w:tc>
          <w:tcPr>
            <w:tcW w:w="2275" w:type="dxa"/>
            <w:vAlign w:val="top"/>
          </w:tcPr>
          <w:p w14:paraId="100ABEF6">
            <w:pPr>
              <w:pStyle w:val="6"/>
              <w:spacing w:before="20" w:line="229" w:lineRule="auto"/>
              <w:ind w:left="1096"/>
              <w:rPr>
                <w:sz w:val="23"/>
                <w:szCs w:val="23"/>
              </w:rPr>
            </w:pPr>
            <w:r>
              <w:rPr>
                <w:sz w:val="23"/>
                <w:szCs w:val="23"/>
              </w:rPr>
              <w:t>/</w:t>
            </w:r>
          </w:p>
        </w:tc>
      </w:tr>
      <w:tr w14:paraId="20081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1659" w:type="dxa"/>
            <w:vAlign w:val="top"/>
          </w:tcPr>
          <w:p w14:paraId="53A74E42">
            <w:pPr>
              <w:pStyle w:val="6"/>
              <w:spacing w:before="30" w:line="225" w:lineRule="auto"/>
              <w:ind w:left="489"/>
              <w:rPr>
                <w:sz w:val="23"/>
                <w:szCs w:val="23"/>
              </w:rPr>
            </w:pPr>
            <w:r>
              <w:rPr>
                <w:spacing w:val="6"/>
                <w:sz w:val="23"/>
                <w:szCs w:val="23"/>
              </w:rPr>
              <w:t>松潘县</w:t>
            </w:r>
          </w:p>
        </w:tc>
        <w:tc>
          <w:tcPr>
            <w:tcW w:w="2091" w:type="dxa"/>
            <w:vAlign w:val="top"/>
          </w:tcPr>
          <w:p w14:paraId="3BAC4667">
            <w:pPr>
              <w:pStyle w:val="6"/>
              <w:spacing w:before="30" w:line="229" w:lineRule="auto"/>
              <w:ind w:left="1007"/>
              <w:rPr>
                <w:sz w:val="23"/>
                <w:szCs w:val="23"/>
              </w:rPr>
            </w:pPr>
            <w:r>
              <w:rPr>
                <w:sz w:val="23"/>
                <w:szCs w:val="23"/>
              </w:rPr>
              <w:t>/</w:t>
            </w:r>
          </w:p>
        </w:tc>
        <w:tc>
          <w:tcPr>
            <w:tcW w:w="1947" w:type="dxa"/>
            <w:vAlign w:val="top"/>
          </w:tcPr>
          <w:p w14:paraId="4AAA2F5F">
            <w:pPr>
              <w:pStyle w:val="6"/>
              <w:spacing w:before="20" w:line="229" w:lineRule="auto"/>
              <w:ind w:left="936"/>
              <w:rPr>
                <w:sz w:val="23"/>
                <w:szCs w:val="23"/>
              </w:rPr>
            </w:pPr>
            <w:r>
              <w:rPr>
                <w:sz w:val="23"/>
                <w:szCs w:val="23"/>
              </w:rPr>
              <w:t>/</w:t>
            </w:r>
          </w:p>
        </w:tc>
        <w:tc>
          <w:tcPr>
            <w:tcW w:w="2275" w:type="dxa"/>
            <w:vAlign w:val="top"/>
          </w:tcPr>
          <w:p w14:paraId="316EA38E">
            <w:pPr>
              <w:pStyle w:val="6"/>
              <w:spacing w:before="20" w:line="229" w:lineRule="auto"/>
              <w:ind w:left="1096"/>
              <w:rPr>
                <w:sz w:val="23"/>
                <w:szCs w:val="23"/>
              </w:rPr>
            </w:pPr>
            <w:r>
              <w:rPr>
                <w:sz w:val="23"/>
                <w:szCs w:val="23"/>
              </w:rPr>
              <w:t>/</w:t>
            </w:r>
          </w:p>
        </w:tc>
      </w:tr>
      <w:tr w14:paraId="1A3C2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59" w:type="dxa"/>
            <w:vAlign w:val="top"/>
          </w:tcPr>
          <w:p w14:paraId="2845CC26">
            <w:pPr>
              <w:pStyle w:val="6"/>
              <w:spacing w:before="35" w:line="225" w:lineRule="auto"/>
              <w:ind w:left="371"/>
              <w:rPr>
                <w:sz w:val="23"/>
                <w:szCs w:val="23"/>
              </w:rPr>
            </w:pPr>
            <w:r>
              <w:rPr>
                <w:spacing w:val="6"/>
                <w:sz w:val="23"/>
                <w:szCs w:val="23"/>
              </w:rPr>
              <w:t>九寨沟县</w:t>
            </w:r>
          </w:p>
        </w:tc>
        <w:tc>
          <w:tcPr>
            <w:tcW w:w="2091" w:type="dxa"/>
            <w:vAlign w:val="top"/>
          </w:tcPr>
          <w:p w14:paraId="7F118F5B">
            <w:pPr>
              <w:pStyle w:val="6"/>
              <w:spacing w:before="34" w:line="229" w:lineRule="auto"/>
              <w:ind w:left="1007"/>
              <w:rPr>
                <w:sz w:val="23"/>
                <w:szCs w:val="23"/>
              </w:rPr>
            </w:pPr>
            <w:r>
              <w:rPr>
                <w:sz w:val="23"/>
                <w:szCs w:val="23"/>
              </w:rPr>
              <w:t>/</w:t>
            </w:r>
          </w:p>
        </w:tc>
        <w:tc>
          <w:tcPr>
            <w:tcW w:w="1947" w:type="dxa"/>
            <w:vAlign w:val="top"/>
          </w:tcPr>
          <w:p w14:paraId="116A092A">
            <w:pPr>
              <w:pStyle w:val="6"/>
              <w:spacing w:before="20" w:line="229" w:lineRule="auto"/>
              <w:ind w:left="936"/>
              <w:rPr>
                <w:sz w:val="23"/>
                <w:szCs w:val="23"/>
              </w:rPr>
            </w:pPr>
            <w:r>
              <w:rPr>
                <w:sz w:val="23"/>
                <w:szCs w:val="23"/>
              </w:rPr>
              <w:t>/</w:t>
            </w:r>
          </w:p>
        </w:tc>
        <w:tc>
          <w:tcPr>
            <w:tcW w:w="2275" w:type="dxa"/>
            <w:vAlign w:val="top"/>
          </w:tcPr>
          <w:p w14:paraId="045347C6">
            <w:pPr>
              <w:pStyle w:val="6"/>
              <w:spacing w:before="20" w:line="229" w:lineRule="auto"/>
              <w:ind w:left="1096"/>
              <w:rPr>
                <w:sz w:val="23"/>
                <w:szCs w:val="23"/>
              </w:rPr>
            </w:pPr>
            <w:r>
              <w:rPr>
                <w:sz w:val="23"/>
                <w:szCs w:val="23"/>
              </w:rPr>
              <w:t>/</w:t>
            </w:r>
          </w:p>
        </w:tc>
      </w:tr>
      <w:tr w14:paraId="4DAEC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6C92413F">
            <w:pPr>
              <w:pStyle w:val="6"/>
              <w:spacing w:before="30" w:line="226" w:lineRule="auto"/>
              <w:ind w:left="499"/>
              <w:rPr>
                <w:sz w:val="23"/>
                <w:szCs w:val="23"/>
              </w:rPr>
            </w:pPr>
            <w:r>
              <w:rPr>
                <w:spacing w:val="3"/>
                <w:sz w:val="23"/>
                <w:szCs w:val="23"/>
              </w:rPr>
              <w:t>黑水县</w:t>
            </w:r>
          </w:p>
        </w:tc>
        <w:tc>
          <w:tcPr>
            <w:tcW w:w="2091" w:type="dxa"/>
            <w:vAlign w:val="top"/>
          </w:tcPr>
          <w:p w14:paraId="52B7F80C">
            <w:pPr>
              <w:pStyle w:val="6"/>
              <w:spacing w:before="30" w:line="229" w:lineRule="auto"/>
              <w:ind w:left="1007"/>
              <w:rPr>
                <w:sz w:val="23"/>
                <w:szCs w:val="23"/>
              </w:rPr>
            </w:pPr>
            <w:r>
              <w:rPr>
                <w:sz w:val="23"/>
                <w:szCs w:val="23"/>
              </w:rPr>
              <w:t>/</w:t>
            </w:r>
          </w:p>
        </w:tc>
        <w:tc>
          <w:tcPr>
            <w:tcW w:w="1947" w:type="dxa"/>
            <w:vAlign w:val="top"/>
          </w:tcPr>
          <w:p w14:paraId="61E7E96E">
            <w:pPr>
              <w:pStyle w:val="6"/>
              <w:spacing w:before="15" w:line="229" w:lineRule="auto"/>
              <w:ind w:left="936"/>
              <w:rPr>
                <w:sz w:val="23"/>
                <w:szCs w:val="23"/>
              </w:rPr>
            </w:pPr>
            <w:r>
              <w:rPr>
                <w:sz w:val="23"/>
                <w:szCs w:val="23"/>
              </w:rPr>
              <w:t>/</w:t>
            </w:r>
          </w:p>
        </w:tc>
        <w:tc>
          <w:tcPr>
            <w:tcW w:w="2275" w:type="dxa"/>
            <w:vAlign w:val="top"/>
          </w:tcPr>
          <w:p w14:paraId="6E31F731">
            <w:pPr>
              <w:pStyle w:val="6"/>
              <w:spacing w:before="15" w:line="229" w:lineRule="auto"/>
              <w:ind w:left="1096"/>
              <w:rPr>
                <w:sz w:val="23"/>
                <w:szCs w:val="23"/>
              </w:rPr>
            </w:pPr>
            <w:r>
              <w:rPr>
                <w:sz w:val="23"/>
                <w:szCs w:val="23"/>
              </w:rPr>
              <w:t>/</w:t>
            </w:r>
          </w:p>
        </w:tc>
      </w:tr>
      <w:tr w14:paraId="7442E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2AAF8187">
            <w:pPr>
              <w:pStyle w:val="6"/>
              <w:spacing w:before="30" w:line="224" w:lineRule="auto"/>
              <w:ind w:left="506"/>
              <w:rPr>
                <w:sz w:val="23"/>
                <w:szCs w:val="23"/>
              </w:rPr>
            </w:pPr>
            <w:r>
              <w:rPr>
                <w:sz w:val="23"/>
                <w:szCs w:val="23"/>
              </w:rPr>
              <w:t>阿坝县</w:t>
            </w:r>
          </w:p>
        </w:tc>
        <w:tc>
          <w:tcPr>
            <w:tcW w:w="2091" w:type="dxa"/>
            <w:vAlign w:val="top"/>
          </w:tcPr>
          <w:p w14:paraId="3F86D520">
            <w:pPr>
              <w:pStyle w:val="6"/>
              <w:spacing w:before="30"/>
              <w:ind w:left="1014"/>
              <w:rPr>
                <w:sz w:val="23"/>
                <w:szCs w:val="23"/>
              </w:rPr>
            </w:pPr>
            <w:r>
              <w:rPr>
                <w:sz w:val="23"/>
                <w:szCs w:val="23"/>
              </w:rPr>
              <w:t>1</w:t>
            </w:r>
          </w:p>
        </w:tc>
        <w:tc>
          <w:tcPr>
            <w:tcW w:w="1947" w:type="dxa"/>
            <w:vAlign w:val="top"/>
          </w:tcPr>
          <w:p w14:paraId="2079A651">
            <w:pPr>
              <w:pStyle w:val="6"/>
              <w:spacing w:before="21" w:line="304" w:lineRule="exact"/>
              <w:ind w:left="875"/>
              <w:rPr>
                <w:sz w:val="23"/>
                <w:szCs w:val="23"/>
              </w:rPr>
            </w:pPr>
            <w:r>
              <w:rPr>
                <w:spacing w:val="-5"/>
                <w:position w:val="1"/>
                <w:sz w:val="23"/>
                <w:szCs w:val="23"/>
              </w:rPr>
              <w:t>20</w:t>
            </w:r>
          </w:p>
        </w:tc>
        <w:tc>
          <w:tcPr>
            <w:tcW w:w="2275" w:type="dxa"/>
            <w:vAlign w:val="top"/>
          </w:tcPr>
          <w:p w14:paraId="2BCBE4A2">
            <w:pPr>
              <w:pStyle w:val="6"/>
              <w:spacing w:before="21" w:line="229" w:lineRule="auto"/>
              <w:ind w:left="1096"/>
              <w:rPr>
                <w:sz w:val="23"/>
                <w:szCs w:val="23"/>
              </w:rPr>
            </w:pPr>
            <w:r>
              <w:rPr>
                <w:sz w:val="23"/>
                <w:szCs w:val="23"/>
              </w:rPr>
              <w:t>/</w:t>
            </w:r>
          </w:p>
        </w:tc>
      </w:tr>
      <w:tr w14:paraId="5573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59" w:type="dxa"/>
            <w:vAlign w:val="top"/>
          </w:tcPr>
          <w:p w14:paraId="225C0A1B">
            <w:pPr>
              <w:pStyle w:val="6"/>
              <w:spacing w:before="36" w:line="226" w:lineRule="auto"/>
              <w:ind w:left="370"/>
              <w:rPr>
                <w:sz w:val="23"/>
                <w:szCs w:val="23"/>
              </w:rPr>
            </w:pPr>
            <w:r>
              <w:rPr>
                <w:spacing w:val="7"/>
                <w:sz w:val="23"/>
                <w:szCs w:val="23"/>
              </w:rPr>
              <w:t>若尔盖县</w:t>
            </w:r>
          </w:p>
        </w:tc>
        <w:tc>
          <w:tcPr>
            <w:tcW w:w="2091" w:type="dxa"/>
            <w:vAlign w:val="top"/>
          </w:tcPr>
          <w:p w14:paraId="26CEB304">
            <w:pPr>
              <w:pStyle w:val="6"/>
              <w:spacing w:before="35"/>
              <w:ind w:left="1008"/>
              <w:rPr>
                <w:sz w:val="23"/>
                <w:szCs w:val="23"/>
              </w:rPr>
            </w:pPr>
            <w:r>
              <w:rPr>
                <w:sz w:val="23"/>
                <w:szCs w:val="23"/>
              </w:rPr>
              <w:t>2</w:t>
            </w:r>
          </w:p>
        </w:tc>
        <w:tc>
          <w:tcPr>
            <w:tcW w:w="1947" w:type="dxa"/>
            <w:vAlign w:val="top"/>
          </w:tcPr>
          <w:p w14:paraId="30B10052">
            <w:pPr>
              <w:pStyle w:val="6"/>
              <w:spacing w:before="21" w:line="304" w:lineRule="exact"/>
              <w:ind w:left="877"/>
              <w:rPr>
                <w:sz w:val="23"/>
                <w:szCs w:val="23"/>
              </w:rPr>
            </w:pPr>
            <w:r>
              <w:rPr>
                <w:spacing w:val="-6"/>
                <w:position w:val="1"/>
                <w:sz w:val="23"/>
                <w:szCs w:val="23"/>
              </w:rPr>
              <w:t>80</w:t>
            </w:r>
          </w:p>
        </w:tc>
        <w:tc>
          <w:tcPr>
            <w:tcW w:w="2275" w:type="dxa"/>
            <w:vAlign w:val="top"/>
          </w:tcPr>
          <w:p w14:paraId="01310993">
            <w:pPr>
              <w:pStyle w:val="6"/>
              <w:spacing w:before="21" w:line="229" w:lineRule="auto"/>
              <w:ind w:left="1096"/>
              <w:rPr>
                <w:sz w:val="23"/>
                <w:szCs w:val="23"/>
              </w:rPr>
            </w:pPr>
            <w:r>
              <w:rPr>
                <w:sz w:val="23"/>
                <w:szCs w:val="23"/>
              </w:rPr>
              <w:t>/</w:t>
            </w:r>
          </w:p>
        </w:tc>
      </w:tr>
      <w:tr w14:paraId="0E40C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2472D6D9">
            <w:pPr>
              <w:pStyle w:val="6"/>
              <w:spacing w:before="31" w:line="226" w:lineRule="auto"/>
              <w:ind w:left="488"/>
              <w:rPr>
                <w:sz w:val="23"/>
                <w:szCs w:val="23"/>
              </w:rPr>
            </w:pPr>
            <w:r>
              <w:rPr>
                <w:spacing w:val="6"/>
                <w:sz w:val="23"/>
                <w:szCs w:val="23"/>
              </w:rPr>
              <w:t>壤塘县</w:t>
            </w:r>
          </w:p>
        </w:tc>
        <w:tc>
          <w:tcPr>
            <w:tcW w:w="2091" w:type="dxa"/>
            <w:vAlign w:val="top"/>
          </w:tcPr>
          <w:p w14:paraId="07D28923">
            <w:pPr>
              <w:pStyle w:val="6"/>
              <w:spacing w:before="31" w:line="229" w:lineRule="auto"/>
              <w:ind w:left="1007"/>
              <w:rPr>
                <w:sz w:val="23"/>
                <w:szCs w:val="23"/>
              </w:rPr>
            </w:pPr>
            <w:r>
              <w:rPr>
                <w:sz w:val="23"/>
                <w:szCs w:val="23"/>
              </w:rPr>
              <w:t>/</w:t>
            </w:r>
          </w:p>
        </w:tc>
        <w:tc>
          <w:tcPr>
            <w:tcW w:w="1947" w:type="dxa"/>
            <w:vAlign w:val="top"/>
          </w:tcPr>
          <w:p w14:paraId="51BFBF84">
            <w:pPr>
              <w:pStyle w:val="6"/>
              <w:spacing w:before="17" w:line="229" w:lineRule="auto"/>
              <w:ind w:left="936"/>
              <w:rPr>
                <w:sz w:val="23"/>
                <w:szCs w:val="23"/>
              </w:rPr>
            </w:pPr>
            <w:r>
              <w:rPr>
                <w:sz w:val="23"/>
                <w:szCs w:val="23"/>
              </w:rPr>
              <w:t>/</w:t>
            </w:r>
          </w:p>
        </w:tc>
        <w:tc>
          <w:tcPr>
            <w:tcW w:w="2275" w:type="dxa"/>
            <w:vAlign w:val="top"/>
          </w:tcPr>
          <w:p w14:paraId="1E8C8943">
            <w:pPr>
              <w:pStyle w:val="6"/>
              <w:spacing w:before="17" w:line="229" w:lineRule="auto"/>
              <w:ind w:left="1096"/>
              <w:rPr>
                <w:sz w:val="23"/>
                <w:szCs w:val="23"/>
              </w:rPr>
            </w:pPr>
            <w:r>
              <w:rPr>
                <w:sz w:val="23"/>
                <w:szCs w:val="23"/>
              </w:rPr>
              <w:t>/</w:t>
            </w:r>
          </w:p>
        </w:tc>
      </w:tr>
      <w:tr w14:paraId="69279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116D8657">
            <w:pPr>
              <w:pStyle w:val="6"/>
              <w:spacing w:before="32" w:line="226" w:lineRule="auto"/>
              <w:ind w:left="494"/>
              <w:rPr>
                <w:sz w:val="23"/>
                <w:szCs w:val="23"/>
              </w:rPr>
            </w:pPr>
            <w:r>
              <w:rPr>
                <w:spacing w:val="4"/>
                <w:sz w:val="23"/>
                <w:szCs w:val="23"/>
              </w:rPr>
              <w:t>红原县</w:t>
            </w:r>
          </w:p>
        </w:tc>
        <w:tc>
          <w:tcPr>
            <w:tcW w:w="2091" w:type="dxa"/>
            <w:vAlign w:val="top"/>
          </w:tcPr>
          <w:p w14:paraId="0BF14ED7">
            <w:pPr>
              <w:pStyle w:val="6"/>
              <w:spacing w:before="32" w:line="239" w:lineRule="auto"/>
              <w:ind w:left="1008"/>
              <w:rPr>
                <w:sz w:val="23"/>
                <w:szCs w:val="23"/>
              </w:rPr>
            </w:pPr>
            <w:r>
              <w:rPr>
                <w:sz w:val="23"/>
                <w:szCs w:val="23"/>
              </w:rPr>
              <w:t>2</w:t>
            </w:r>
          </w:p>
        </w:tc>
        <w:tc>
          <w:tcPr>
            <w:tcW w:w="1947" w:type="dxa"/>
            <w:vAlign w:val="top"/>
          </w:tcPr>
          <w:p w14:paraId="0028C5FF">
            <w:pPr>
              <w:pStyle w:val="6"/>
              <w:spacing w:before="22" w:line="304" w:lineRule="exact"/>
              <w:ind w:left="877"/>
              <w:rPr>
                <w:sz w:val="23"/>
                <w:szCs w:val="23"/>
              </w:rPr>
            </w:pPr>
            <w:r>
              <w:rPr>
                <w:spacing w:val="-6"/>
                <w:position w:val="1"/>
                <w:sz w:val="23"/>
                <w:szCs w:val="23"/>
              </w:rPr>
              <w:t>80</w:t>
            </w:r>
          </w:p>
        </w:tc>
        <w:tc>
          <w:tcPr>
            <w:tcW w:w="2275" w:type="dxa"/>
            <w:vAlign w:val="top"/>
          </w:tcPr>
          <w:p w14:paraId="476BD7EB">
            <w:pPr>
              <w:pStyle w:val="6"/>
              <w:spacing w:before="22" w:line="229" w:lineRule="auto"/>
              <w:ind w:left="1096"/>
              <w:rPr>
                <w:sz w:val="23"/>
                <w:szCs w:val="23"/>
              </w:rPr>
            </w:pPr>
            <w:r>
              <w:rPr>
                <w:sz w:val="23"/>
                <w:szCs w:val="23"/>
              </w:rPr>
              <w:t>/</w:t>
            </w:r>
          </w:p>
        </w:tc>
      </w:tr>
      <w:tr w14:paraId="18094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11342C37">
            <w:pPr>
              <w:pStyle w:val="6"/>
              <w:spacing w:before="37" w:line="225" w:lineRule="auto"/>
              <w:ind w:left="490"/>
              <w:rPr>
                <w:sz w:val="23"/>
                <w:szCs w:val="23"/>
              </w:rPr>
            </w:pPr>
            <w:r>
              <w:rPr>
                <w:spacing w:val="6"/>
                <w:sz w:val="23"/>
                <w:szCs w:val="23"/>
              </w:rPr>
              <w:t>金川县</w:t>
            </w:r>
          </w:p>
        </w:tc>
        <w:tc>
          <w:tcPr>
            <w:tcW w:w="2091" w:type="dxa"/>
            <w:vAlign w:val="top"/>
          </w:tcPr>
          <w:p w14:paraId="063843F1">
            <w:pPr>
              <w:pStyle w:val="6"/>
              <w:spacing w:before="37" w:line="229" w:lineRule="auto"/>
              <w:ind w:left="1007"/>
              <w:rPr>
                <w:sz w:val="23"/>
                <w:szCs w:val="23"/>
              </w:rPr>
            </w:pPr>
            <w:r>
              <w:rPr>
                <w:sz w:val="23"/>
                <w:szCs w:val="23"/>
              </w:rPr>
              <w:t>/</w:t>
            </w:r>
          </w:p>
        </w:tc>
        <w:tc>
          <w:tcPr>
            <w:tcW w:w="1947" w:type="dxa"/>
            <w:vAlign w:val="top"/>
          </w:tcPr>
          <w:p w14:paraId="75EF0448">
            <w:pPr>
              <w:pStyle w:val="6"/>
              <w:spacing w:before="22" w:line="229" w:lineRule="auto"/>
              <w:ind w:left="936"/>
              <w:rPr>
                <w:sz w:val="23"/>
                <w:szCs w:val="23"/>
              </w:rPr>
            </w:pPr>
            <w:r>
              <w:rPr>
                <w:sz w:val="23"/>
                <w:szCs w:val="23"/>
              </w:rPr>
              <w:t>/</w:t>
            </w:r>
          </w:p>
        </w:tc>
        <w:tc>
          <w:tcPr>
            <w:tcW w:w="2275" w:type="dxa"/>
            <w:vAlign w:val="top"/>
          </w:tcPr>
          <w:p w14:paraId="0752F26B">
            <w:pPr>
              <w:pStyle w:val="6"/>
              <w:spacing w:before="22" w:line="229" w:lineRule="auto"/>
              <w:ind w:left="1096"/>
              <w:rPr>
                <w:sz w:val="23"/>
                <w:szCs w:val="23"/>
              </w:rPr>
            </w:pPr>
            <w:r>
              <w:rPr>
                <w:sz w:val="23"/>
                <w:szCs w:val="23"/>
              </w:rPr>
              <w:t>/</w:t>
            </w:r>
          </w:p>
        </w:tc>
      </w:tr>
      <w:tr w14:paraId="43717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59" w:type="dxa"/>
            <w:vAlign w:val="top"/>
          </w:tcPr>
          <w:p w14:paraId="7EC4EC34">
            <w:pPr>
              <w:pStyle w:val="6"/>
              <w:spacing w:before="38" w:line="226" w:lineRule="auto"/>
              <w:ind w:left="490"/>
              <w:rPr>
                <w:sz w:val="23"/>
                <w:szCs w:val="23"/>
              </w:rPr>
            </w:pPr>
            <w:r>
              <w:rPr>
                <w:spacing w:val="6"/>
                <w:sz w:val="23"/>
                <w:szCs w:val="23"/>
              </w:rPr>
              <w:t>小金县</w:t>
            </w:r>
          </w:p>
        </w:tc>
        <w:tc>
          <w:tcPr>
            <w:tcW w:w="2091" w:type="dxa"/>
            <w:vAlign w:val="top"/>
          </w:tcPr>
          <w:p w14:paraId="7447AA08">
            <w:pPr>
              <w:pStyle w:val="6"/>
              <w:spacing w:before="37" w:line="229" w:lineRule="auto"/>
              <w:ind w:left="1007"/>
              <w:rPr>
                <w:sz w:val="23"/>
                <w:szCs w:val="23"/>
              </w:rPr>
            </w:pPr>
            <w:r>
              <w:rPr>
                <w:sz w:val="23"/>
                <w:szCs w:val="23"/>
              </w:rPr>
              <w:t>/</w:t>
            </w:r>
          </w:p>
        </w:tc>
        <w:tc>
          <w:tcPr>
            <w:tcW w:w="1947" w:type="dxa"/>
            <w:vAlign w:val="top"/>
          </w:tcPr>
          <w:p w14:paraId="52A86C4D">
            <w:pPr>
              <w:pStyle w:val="6"/>
              <w:spacing w:before="23" w:line="229" w:lineRule="auto"/>
              <w:ind w:left="936"/>
              <w:rPr>
                <w:sz w:val="23"/>
                <w:szCs w:val="23"/>
              </w:rPr>
            </w:pPr>
            <w:r>
              <w:rPr>
                <w:sz w:val="23"/>
                <w:szCs w:val="23"/>
              </w:rPr>
              <w:t>/</w:t>
            </w:r>
          </w:p>
        </w:tc>
        <w:tc>
          <w:tcPr>
            <w:tcW w:w="2275" w:type="dxa"/>
            <w:vAlign w:val="top"/>
          </w:tcPr>
          <w:p w14:paraId="190D3A19">
            <w:pPr>
              <w:pStyle w:val="6"/>
              <w:spacing w:before="23" w:line="229" w:lineRule="auto"/>
              <w:ind w:left="1096"/>
              <w:rPr>
                <w:sz w:val="23"/>
                <w:szCs w:val="23"/>
              </w:rPr>
            </w:pPr>
            <w:r>
              <w:rPr>
                <w:sz w:val="23"/>
                <w:szCs w:val="23"/>
              </w:rPr>
              <w:t>/</w:t>
            </w:r>
          </w:p>
        </w:tc>
      </w:tr>
      <w:tr w14:paraId="1D921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659" w:type="dxa"/>
            <w:vAlign w:val="top"/>
          </w:tcPr>
          <w:p w14:paraId="05B44ADD">
            <w:pPr>
              <w:pStyle w:val="6"/>
              <w:spacing w:before="33" w:line="225" w:lineRule="auto"/>
              <w:ind w:left="376"/>
              <w:rPr>
                <w:sz w:val="23"/>
                <w:szCs w:val="23"/>
              </w:rPr>
            </w:pPr>
            <w:r>
              <w:rPr>
                <w:spacing w:val="5"/>
                <w:sz w:val="23"/>
                <w:szCs w:val="23"/>
              </w:rPr>
              <w:t>马尔康市</w:t>
            </w:r>
          </w:p>
        </w:tc>
        <w:tc>
          <w:tcPr>
            <w:tcW w:w="2091" w:type="dxa"/>
            <w:vAlign w:val="top"/>
          </w:tcPr>
          <w:p w14:paraId="779118B2">
            <w:pPr>
              <w:pStyle w:val="6"/>
              <w:spacing w:before="33" w:line="229" w:lineRule="auto"/>
              <w:ind w:left="1007"/>
              <w:rPr>
                <w:sz w:val="23"/>
                <w:szCs w:val="23"/>
              </w:rPr>
            </w:pPr>
            <w:r>
              <w:rPr>
                <w:sz w:val="23"/>
                <w:szCs w:val="23"/>
              </w:rPr>
              <w:t>/</w:t>
            </w:r>
          </w:p>
        </w:tc>
        <w:tc>
          <w:tcPr>
            <w:tcW w:w="1947" w:type="dxa"/>
            <w:vAlign w:val="top"/>
          </w:tcPr>
          <w:p w14:paraId="36A1FA03">
            <w:pPr>
              <w:pStyle w:val="6"/>
              <w:spacing w:before="23" w:line="229" w:lineRule="auto"/>
              <w:ind w:left="936"/>
              <w:rPr>
                <w:sz w:val="23"/>
                <w:szCs w:val="23"/>
              </w:rPr>
            </w:pPr>
            <w:r>
              <w:rPr>
                <w:sz w:val="23"/>
                <w:szCs w:val="23"/>
              </w:rPr>
              <w:t>/</w:t>
            </w:r>
          </w:p>
        </w:tc>
        <w:tc>
          <w:tcPr>
            <w:tcW w:w="2275" w:type="dxa"/>
            <w:vAlign w:val="top"/>
          </w:tcPr>
          <w:p w14:paraId="6340131D">
            <w:pPr>
              <w:pStyle w:val="6"/>
              <w:spacing w:before="23" w:line="229" w:lineRule="auto"/>
              <w:ind w:left="1096"/>
              <w:rPr>
                <w:sz w:val="23"/>
                <w:szCs w:val="23"/>
              </w:rPr>
            </w:pPr>
            <w:r>
              <w:rPr>
                <w:sz w:val="23"/>
                <w:szCs w:val="23"/>
              </w:rPr>
              <w:t>/</w:t>
            </w:r>
          </w:p>
        </w:tc>
      </w:tr>
      <w:tr w14:paraId="0D4AA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659" w:type="dxa"/>
            <w:vAlign w:val="top"/>
          </w:tcPr>
          <w:p w14:paraId="4342F6C9">
            <w:pPr>
              <w:pStyle w:val="6"/>
              <w:spacing w:before="43" w:line="224" w:lineRule="auto"/>
              <w:ind w:left="506"/>
              <w:rPr>
                <w:sz w:val="23"/>
                <w:szCs w:val="23"/>
              </w:rPr>
            </w:pPr>
            <w:r>
              <w:rPr>
                <w:sz w:val="23"/>
                <w:szCs w:val="23"/>
              </w:rPr>
              <w:t>阿坝州</w:t>
            </w:r>
          </w:p>
        </w:tc>
        <w:tc>
          <w:tcPr>
            <w:tcW w:w="2091" w:type="dxa"/>
            <w:vAlign w:val="top"/>
          </w:tcPr>
          <w:p w14:paraId="00298E7C">
            <w:pPr>
              <w:pStyle w:val="6"/>
              <w:spacing w:before="43" w:line="304" w:lineRule="exact"/>
              <w:ind w:left="951"/>
              <w:rPr>
                <w:sz w:val="23"/>
                <w:szCs w:val="23"/>
              </w:rPr>
            </w:pPr>
            <w:r>
              <w:rPr>
                <w:spacing w:val="-8"/>
                <w:position w:val="1"/>
                <w:sz w:val="23"/>
                <w:szCs w:val="23"/>
              </w:rPr>
              <w:t>10</w:t>
            </w:r>
          </w:p>
        </w:tc>
        <w:tc>
          <w:tcPr>
            <w:tcW w:w="1947" w:type="dxa"/>
            <w:vAlign w:val="top"/>
          </w:tcPr>
          <w:p w14:paraId="46B57F9C">
            <w:pPr>
              <w:pStyle w:val="6"/>
              <w:spacing w:before="43" w:line="304" w:lineRule="exact"/>
              <w:ind w:left="827"/>
              <w:rPr>
                <w:sz w:val="23"/>
                <w:szCs w:val="23"/>
              </w:rPr>
            </w:pPr>
            <w:r>
              <w:rPr>
                <w:spacing w:val="-5"/>
                <w:position w:val="1"/>
                <w:sz w:val="23"/>
                <w:szCs w:val="23"/>
              </w:rPr>
              <w:t>330</w:t>
            </w:r>
          </w:p>
        </w:tc>
        <w:tc>
          <w:tcPr>
            <w:tcW w:w="2275" w:type="dxa"/>
            <w:vAlign w:val="top"/>
          </w:tcPr>
          <w:p w14:paraId="40467669">
            <w:pPr>
              <w:pStyle w:val="6"/>
              <w:spacing w:before="43" w:line="306" w:lineRule="exact"/>
              <w:ind w:left="1097"/>
              <w:rPr>
                <w:sz w:val="23"/>
                <w:szCs w:val="23"/>
              </w:rPr>
            </w:pPr>
            <w:r>
              <w:rPr>
                <w:position w:val="1"/>
                <w:sz w:val="23"/>
                <w:szCs w:val="23"/>
              </w:rPr>
              <w:t>2</w:t>
            </w:r>
          </w:p>
        </w:tc>
      </w:tr>
    </w:tbl>
    <w:p w14:paraId="61ACDC40">
      <w:pPr>
        <w:spacing w:before="92" w:line="185" w:lineRule="auto"/>
        <w:ind w:left="555"/>
        <w:rPr>
          <w:rFonts w:ascii="仿宋" w:hAnsi="仿宋" w:eastAsia="仿宋" w:cs="仿宋"/>
          <w:sz w:val="21"/>
          <w:szCs w:val="21"/>
        </w:rPr>
      </w:pPr>
      <w:r>
        <w:rPr>
          <w:rFonts w:ascii="仿宋" w:hAnsi="仿宋" w:eastAsia="仿宋" w:cs="仿宋"/>
          <w:spacing w:val="-1"/>
          <w:sz w:val="21"/>
          <w:szCs w:val="21"/>
        </w:rPr>
        <w:t>注：砂石和砖瓦用建材指标尚未落实的根据情况可进行动态调整</w:t>
      </w:r>
    </w:p>
    <w:p w14:paraId="1FBD7B4F">
      <w:pPr>
        <w:spacing w:line="185" w:lineRule="auto"/>
        <w:rPr>
          <w:rFonts w:ascii="仿宋" w:hAnsi="仿宋" w:eastAsia="仿宋" w:cs="仿宋"/>
          <w:sz w:val="21"/>
          <w:szCs w:val="21"/>
        </w:rPr>
        <w:sectPr>
          <w:type w:val="continuous"/>
          <w:pgSz w:w="11904" w:h="16835"/>
          <w:pgMar w:top="1430" w:right="1742" w:bottom="1289" w:left="1679" w:header="0" w:footer="923" w:gutter="0"/>
          <w:cols w:equalWidth="0" w:num="1">
            <w:col w:w="8481"/>
          </w:cols>
        </w:sectPr>
      </w:pPr>
    </w:p>
    <w:p w14:paraId="47C9F012">
      <w:pPr>
        <w:pStyle w:val="2"/>
        <w:spacing w:before="118" w:line="355" w:lineRule="auto"/>
        <w:ind w:left="20" w:firstLine="654"/>
        <w:rPr>
          <w:rFonts w:ascii="仿宋" w:hAnsi="仿宋" w:eastAsia="仿宋" w:cs="仿宋"/>
          <w:sz w:val="31"/>
          <w:szCs w:val="31"/>
        </w:rPr>
      </w:pPr>
      <w:r>
        <w:rPr>
          <w:rFonts w:ascii="微软雅黑" w:hAnsi="微软雅黑" w:eastAsia="微软雅黑" w:cs="微软雅黑"/>
          <w:spacing w:val="6"/>
          <w:sz w:val="31"/>
          <w:szCs w:val="31"/>
        </w:rPr>
        <w:t>满足最低建设规模条件</w:t>
      </w:r>
      <w:r>
        <w:rPr>
          <w:spacing w:val="6"/>
          <w:sz w:val="31"/>
          <w:szCs w:val="31"/>
        </w:rPr>
        <w:t>.</w:t>
      </w:r>
      <w:r>
        <w:rPr>
          <w:spacing w:val="44"/>
          <w:sz w:val="31"/>
          <w:szCs w:val="31"/>
        </w:rPr>
        <w:t xml:space="preserve">  </w:t>
      </w:r>
      <w:r>
        <w:rPr>
          <w:rFonts w:ascii="仿宋" w:hAnsi="仿宋" w:eastAsia="仿宋" w:cs="仿宋"/>
          <w:spacing w:val="6"/>
          <w:sz w:val="31"/>
          <w:szCs w:val="31"/>
        </w:rPr>
        <w:t>落实并细化省级规划指标</w:t>
      </w:r>
      <w:r>
        <w:rPr>
          <w:rFonts w:ascii="仿宋" w:hAnsi="仿宋" w:eastAsia="仿宋" w:cs="仿宋"/>
          <w:spacing w:val="6"/>
          <w:position w:val="-9"/>
          <w:sz w:val="31"/>
          <w:szCs w:val="31"/>
        </w:rPr>
        <w:t>，</w:t>
      </w:r>
      <w:r>
        <w:rPr>
          <w:rFonts w:ascii="仿宋" w:hAnsi="仿宋" w:eastAsia="仿宋" w:cs="仿宋"/>
          <w:spacing w:val="6"/>
          <w:sz w:val="31"/>
          <w:szCs w:val="31"/>
        </w:rPr>
        <w:t>为</w:t>
      </w:r>
      <w:r>
        <w:rPr>
          <w:rFonts w:ascii="仿宋" w:hAnsi="仿宋" w:eastAsia="仿宋" w:cs="仿宋"/>
          <w:spacing w:val="10"/>
          <w:sz w:val="31"/>
          <w:szCs w:val="31"/>
        </w:rPr>
        <w:t>成兰铁路、成西铁路、川郎高速、四姑娘山都市轨道交</w:t>
      </w:r>
      <w:r>
        <w:rPr>
          <w:rFonts w:ascii="仿宋" w:hAnsi="仿宋" w:eastAsia="仿宋" w:cs="仿宋"/>
          <w:spacing w:val="9"/>
          <w:sz w:val="31"/>
          <w:szCs w:val="31"/>
        </w:rPr>
        <w:t>通、</w:t>
      </w:r>
      <w:r>
        <w:rPr>
          <w:rFonts w:ascii="仿宋" w:hAnsi="仿宋" w:eastAsia="仿宋" w:cs="仿宋"/>
          <w:spacing w:val="6"/>
          <w:sz w:val="31"/>
          <w:szCs w:val="31"/>
        </w:rPr>
        <w:t>久马高速、九绵高速、川（成）汶（</w:t>
      </w:r>
      <w:r>
        <w:rPr>
          <w:rFonts w:ascii="仿宋" w:hAnsi="仿宋" w:eastAsia="仿宋" w:cs="仿宋"/>
          <w:spacing w:val="-77"/>
          <w:sz w:val="31"/>
          <w:szCs w:val="31"/>
        </w:rPr>
        <w:t xml:space="preserve"> </w:t>
      </w:r>
      <w:r>
        <w:rPr>
          <w:rFonts w:ascii="仿宋" w:hAnsi="仿宋" w:eastAsia="仿宋" w:cs="仿宋"/>
          <w:spacing w:val="6"/>
          <w:sz w:val="31"/>
          <w:szCs w:val="31"/>
        </w:rPr>
        <w:t>阿）高速经过的县及振兴乡村的工程配套砂石开采区块，生产规模不低于</w:t>
      </w:r>
      <w:r>
        <w:rPr>
          <w:rFonts w:ascii="仿宋" w:hAnsi="仿宋" w:eastAsia="仿宋" w:cs="仿宋"/>
          <w:spacing w:val="-39"/>
          <w:sz w:val="31"/>
          <w:szCs w:val="31"/>
        </w:rPr>
        <w:t xml:space="preserve"> </w:t>
      </w:r>
      <w:r>
        <w:rPr>
          <w:rFonts w:ascii="仿宋" w:hAnsi="仿宋" w:eastAsia="仿宋" w:cs="仿宋"/>
          <w:spacing w:val="6"/>
          <w:sz w:val="31"/>
          <w:szCs w:val="31"/>
        </w:rPr>
        <w:t>20</w:t>
      </w:r>
      <w:r>
        <w:rPr>
          <w:rFonts w:ascii="仿宋" w:hAnsi="仿宋" w:eastAsia="仿宋" w:cs="仿宋"/>
          <w:spacing w:val="-44"/>
          <w:sz w:val="31"/>
          <w:szCs w:val="31"/>
        </w:rPr>
        <w:t xml:space="preserve"> </w:t>
      </w:r>
      <w:r>
        <w:rPr>
          <w:rFonts w:ascii="仿宋" w:hAnsi="仿宋" w:eastAsia="仿宋" w:cs="仿宋"/>
          <w:spacing w:val="6"/>
          <w:sz w:val="31"/>
          <w:szCs w:val="31"/>
        </w:rPr>
        <w:t>万吨/</w:t>
      </w:r>
      <w:r>
        <w:rPr>
          <w:rFonts w:ascii="仿宋" w:hAnsi="仿宋" w:eastAsia="仿宋" w:cs="仿宋"/>
          <w:spacing w:val="-2"/>
          <w:sz w:val="31"/>
          <w:szCs w:val="31"/>
        </w:rPr>
        <w:t>年，服务年限与项目工期衔接，重大项目完工后按程序关闭；</w:t>
      </w:r>
      <w:r>
        <w:rPr>
          <w:rFonts w:ascii="仿宋" w:hAnsi="仿宋" w:eastAsia="仿宋" w:cs="仿宋"/>
          <w:spacing w:val="6"/>
          <w:sz w:val="31"/>
          <w:szCs w:val="31"/>
        </w:rPr>
        <w:t>砖瓦用建材最低开采规模不低于</w:t>
      </w:r>
      <w:r>
        <w:rPr>
          <w:rFonts w:ascii="仿宋" w:hAnsi="仿宋" w:eastAsia="仿宋" w:cs="仿宋"/>
          <w:spacing w:val="-34"/>
          <w:sz w:val="31"/>
          <w:szCs w:val="31"/>
        </w:rPr>
        <w:t xml:space="preserve"> </w:t>
      </w:r>
      <w:r>
        <w:rPr>
          <w:rFonts w:ascii="仿宋" w:hAnsi="仿宋" w:eastAsia="仿宋" w:cs="仿宋"/>
          <w:spacing w:val="6"/>
          <w:sz w:val="31"/>
          <w:szCs w:val="31"/>
        </w:rPr>
        <w:t>20</w:t>
      </w:r>
      <w:r>
        <w:rPr>
          <w:rFonts w:ascii="仿宋" w:hAnsi="仿宋" w:eastAsia="仿宋" w:cs="仿宋"/>
          <w:spacing w:val="-49"/>
          <w:sz w:val="31"/>
          <w:szCs w:val="31"/>
        </w:rPr>
        <w:t xml:space="preserve"> </w:t>
      </w:r>
      <w:r>
        <w:rPr>
          <w:rFonts w:ascii="仿宋" w:hAnsi="仿宋" w:eastAsia="仿宋" w:cs="仿宋"/>
          <w:spacing w:val="6"/>
          <w:sz w:val="31"/>
          <w:szCs w:val="31"/>
        </w:rPr>
        <w:t>万吨/年，开采年限不得</w:t>
      </w:r>
      <w:r>
        <w:rPr>
          <w:rFonts w:ascii="仿宋" w:hAnsi="仿宋" w:eastAsia="仿宋" w:cs="仿宋"/>
          <w:spacing w:val="7"/>
          <w:sz w:val="31"/>
          <w:szCs w:val="31"/>
        </w:rPr>
        <w:t>低于</w:t>
      </w:r>
      <w:r>
        <w:rPr>
          <w:rFonts w:ascii="仿宋" w:hAnsi="仿宋" w:eastAsia="仿宋" w:cs="仿宋"/>
          <w:spacing w:val="-39"/>
          <w:sz w:val="31"/>
          <w:szCs w:val="31"/>
        </w:rPr>
        <w:t xml:space="preserve"> </w:t>
      </w:r>
      <w:r>
        <w:rPr>
          <w:rFonts w:ascii="仿宋" w:hAnsi="仿宋" w:eastAsia="仿宋" w:cs="仿宋"/>
          <w:spacing w:val="7"/>
          <w:sz w:val="31"/>
          <w:szCs w:val="31"/>
        </w:rPr>
        <w:t>10</w:t>
      </w:r>
      <w:r>
        <w:rPr>
          <w:rFonts w:ascii="仿宋" w:hAnsi="仿宋" w:eastAsia="仿宋" w:cs="仿宋"/>
          <w:spacing w:val="-58"/>
          <w:sz w:val="31"/>
          <w:szCs w:val="31"/>
        </w:rPr>
        <w:t xml:space="preserve"> </w:t>
      </w:r>
      <w:r>
        <w:rPr>
          <w:rFonts w:ascii="仿宋" w:hAnsi="仿宋" w:eastAsia="仿宋" w:cs="仿宋"/>
          <w:spacing w:val="7"/>
          <w:sz w:val="31"/>
          <w:szCs w:val="31"/>
        </w:rPr>
        <w:t>年。矿山完成开采后，督促矿业权人完成矿区生态</w:t>
      </w:r>
      <w:r>
        <w:rPr>
          <w:rFonts w:ascii="仿宋" w:hAnsi="仿宋" w:eastAsia="仿宋" w:cs="仿宋"/>
          <w:spacing w:val="8"/>
          <w:sz w:val="31"/>
          <w:szCs w:val="31"/>
        </w:rPr>
        <w:t>修复，按程序注销采矿权。</w:t>
      </w:r>
    </w:p>
    <w:p w14:paraId="623AA6EE">
      <w:pPr>
        <w:pStyle w:val="2"/>
        <w:spacing w:before="6" w:line="350" w:lineRule="auto"/>
        <w:ind w:left="22" w:right="24" w:firstLine="639"/>
        <w:jc w:val="both"/>
        <w:rPr>
          <w:rFonts w:ascii="仿宋" w:hAnsi="仿宋" w:eastAsia="仿宋" w:cs="仿宋"/>
          <w:sz w:val="31"/>
          <w:szCs w:val="31"/>
        </w:rPr>
      </w:pPr>
      <w:r>
        <w:rPr>
          <w:rFonts w:ascii="微软雅黑" w:hAnsi="微软雅黑" w:eastAsia="微软雅黑" w:cs="微软雅黑"/>
          <w:spacing w:val="5"/>
          <w:sz w:val="31"/>
          <w:szCs w:val="31"/>
        </w:rPr>
        <w:t>优化砂石土资源开发结构</w:t>
      </w:r>
      <w:r>
        <w:rPr>
          <w:rFonts w:ascii="微软雅黑" w:hAnsi="微软雅黑" w:eastAsia="微软雅黑" w:cs="微软雅黑"/>
          <w:spacing w:val="-54"/>
          <w:sz w:val="31"/>
          <w:szCs w:val="31"/>
        </w:rPr>
        <w:t xml:space="preserve"> </w:t>
      </w:r>
      <w:r>
        <w:rPr>
          <w:spacing w:val="5"/>
          <w:sz w:val="31"/>
          <w:szCs w:val="31"/>
        </w:rPr>
        <w:t>.</w:t>
      </w:r>
      <w:r>
        <w:rPr>
          <w:spacing w:val="29"/>
          <w:sz w:val="31"/>
          <w:szCs w:val="31"/>
        </w:rPr>
        <w:t xml:space="preserve">  </w:t>
      </w:r>
      <w:r>
        <w:rPr>
          <w:rFonts w:ascii="仿宋" w:hAnsi="仿宋" w:eastAsia="仿宋" w:cs="仿宋"/>
          <w:spacing w:val="5"/>
          <w:sz w:val="31"/>
          <w:szCs w:val="31"/>
        </w:rPr>
        <w:t>杜绝</w:t>
      </w:r>
      <w:r>
        <w:rPr>
          <w:rFonts w:ascii="仿宋" w:hAnsi="仿宋" w:eastAsia="仿宋" w:cs="仿宋"/>
          <w:spacing w:val="-102"/>
          <w:sz w:val="31"/>
          <w:szCs w:val="31"/>
        </w:rPr>
        <w:t xml:space="preserve"> </w:t>
      </w:r>
      <w:r>
        <w:rPr>
          <w:rFonts w:ascii="仿宋" w:hAnsi="仿宋" w:eastAsia="仿宋" w:cs="仿宋"/>
          <w:spacing w:val="5"/>
          <w:position w:val="6"/>
          <w:sz w:val="31"/>
          <w:szCs w:val="31"/>
        </w:rPr>
        <w:t>“</w:t>
      </w:r>
      <w:r>
        <w:rPr>
          <w:rFonts w:ascii="仿宋" w:hAnsi="仿宋" w:eastAsia="仿宋" w:cs="仿宋"/>
          <w:spacing w:val="5"/>
          <w:sz w:val="31"/>
          <w:szCs w:val="31"/>
        </w:rPr>
        <w:t>小散乱</w:t>
      </w:r>
      <w:r>
        <w:rPr>
          <w:rFonts w:ascii="仿宋" w:hAnsi="仿宋" w:eastAsia="仿宋" w:cs="仿宋"/>
          <w:spacing w:val="5"/>
          <w:position w:val="6"/>
          <w:sz w:val="31"/>
          <w:szCs w:val="31"/>
        </w:rPr>
        <w:t>”</w:t>
      </w:r>
      <w:r>
        <w:rPr>
          <w:rFonts w:ascii="仿宋" w:hAnsi="仿宋" w:eastAsia="仿宋" w:cs="仿宋"/>
          <w:spacing w:val="4"/>
          <w:sz w:val="31"/>
          <w:szCs w:val="31"/>
        </w:rPr>
        <w:t>开采行为</w:t>
      </w:r>
      <w:r>
        <w:rPr>
          <w:rFonts w:ascii="仿宋" w:hAnsi="仿宋" w:eastAsia="仿宋" w:cs="仿宋"/>
          <w:spacing w:val="4"/>
          <w:position w:val="-9"/>
          <w:sz w:val="31"/>
          <w:szCs w:val="31"/>
        </w:rPr>
        <w:t>，</w:t>
      </w:r>
      <w:r>
        <w:rPr>
          <w:rFonts w:ascii="仿宋" w:hAnsi="仿宋" w:eastAsia="仿宋" w:cs="仿宋"/>
          <w:spacing w:val="6"/>
          <w:sz w:val="31"/>
          <w:szCs w:val="31"/>
        </w:rPr>
        <w:t>鼓励各县（</w:t>
      </w:r>
      <w:r>
        <w:rPr>
          <w:rFonts w:ascii="仿宋" w:hAnsi="仿宋" w:eastAsia="仿宋" w:cs="仿宋"/>
          <w:spacing w:val="-79"/>
          <w:sz w:val="31"/>
          <w:szCs w:val="31"/>
        </w:rPr>
        <w:t xml:space="preserve"> </w:t>
      </w:r>
      <w:r>
        <w:rPr>
          <w:rFonts w:ascii="仿宋" w:hAnsi="仿宋" w:eastAsia="仿宋" w:cs="仿宋"/>
          <w:spacing w:val="6"/>
          <w:sz w:val="31"/>
          <w:szCs w:val="31"/>
        </w:rPr>
        <w:t>市）符合绿色矿山建设要求的规模化砂石料场发</w:t>
      </w:r>
      <w:r>
        <w:rPr>
          <w:rFonts w:ascii="仿宋" w:hAnsi="仿宋" w:eastAsia="仿宋" w:cs="仿宋"/>
          <w:spacing w:val="9"/>
          <w:sz w:val="31"/>
          <w:szCs w:val="31"/>
        </w:rPr>
        <w:t>挥引领作用，规模化集中开采，为国家、省级重大建设</w:t>
      </w:r>
      <w:r>
        <w:rPr>
          <w:rFonts w:ascii="仿宋" w:hAnsi="仿宋" w:eastAsia="仿宋" w:cs="仿宋"/>
          <w:spacing w:val="8"/>
          <w:sz w:val="31"/>
          <w:szCs w:val="31"/>
        </w:rPr>
        <w:t>工程</w:t>
      </w:r>
      <w:r>
        <w:rPr>
          <w:rFonts w:ascii="仿宋" w:hAnsi="仿宋" w:eastAsia="仿宋" w:cs="仿宋"/>
          <w:spacing w:val="9"/>
          <w:sz w:val="31"/>
          <w:szCs w:val="31"/>
        </w:rPr>
        <w:t>提供稳定的砂石资源供给。在重大工程完工后，承担社</w:t>
      </w:r>
      <w:r>
        <w:rPr>
          <w:rFonts w:ascii="仿宋" w:hAnsi="仿宋" w:eastAsia="仿宋" w:cs="仿宋"/>
          <w:spacing w:val="8"/>
          <w:sz w:val="31"/>
          <w:szCs w:val="31"/>
        </w:rPr>
        <w:t>会责</w:t>
      </w:r>
      <w:r>
        <w:rPr>
          <w:rFonts w:ascii="仿宋" w:hAnsi="仿宋" w:eastAsia="仿宋" w:cs="仿宋"/>
          <w:spacing w:val="9"/>
          <w:sz w:val="31"/>
          <w:szCs w:val="31"/>
        </w:rPr>
        <w:t>任，高质量完成矿区生态修复。形成砂石开发利用与绿</w:t>
      </w:r>
      <w:r>
        <w:rPr>
          <w:rFonts w:ascii="仿宋" w:hAnsi="仿宋" w:eastAsia="仿宋" w:cs="仿宋"/>
          <w:spacing w:val="8"/>
          <w:sz w:val="31"/>
          <w:szCs w:val="31"/>
        </w:rPr>
        <w:t>水青山共赢的生态发展新局面。</w:t>
      </w:r>
    </w:p>
    <w:p w14:paraId="269FE0A0">
      <w:pPr>
        <w:spacing w:before="99" w:line="351" w:lineRule="auto"/>
        <w:ind w:left="30" w:right="24" w:firstLine="634"/>
        <w:jc w:val="both"/>
        <w:rPr>
          <w:rFonts w:ascii="仿宋" w:hAnsi="仿宋" w:eastAsia="仿宋" w:cs="仿宋"/>
          <w:sz w:val="31"/>
          <w:szCs w:val="31"/>
        </w:rPr>
      </w:pPr>
      <w:r>
        <w:rPr>
          <w:rFonts w:ascii="微软雅黑" w:hAnsi="微软雅黑" w:eastAsia="微软雅黑" w:cs="微软雅黑"/>
          <w:spacing w:val="6"/>
          <w:sz w:val="31"/>
          <w:szCs w:val="31"/>
        </w:rPr>
        <w:t>积极探索划定砂石调入储备区</w:t>
      </w:r>
      <w:r>
        <w:rPr>
          <w:rFonts w:ascii="微软雅黑" w:hAnsi="微软雅黑" w:eastAsia="微软雅黑" w:cs="微软雅黑"/>
          <w:spacing w:val="-26"/>
          <w:sz w:val="31"/>
          <w:szCs w:val="31"/>
        </w:rPr>
        <w:t xml:space="preserve"> </w:t>
      </w:r>
      <w:r>
        <w:rPr>
          <w:rFonts w:ascii="微软雅黑" w:hAnsi="微软雅黑" w:eastAsia="微软雅黑" w:cs="微软雅黑"/>
          <w:spacing w:val="6"/>
          <w:sz w:val="31"/>
          <w:szCs w:val="31"/>
        </w:rPr>
        <w:t>。</w:t>
      </w:r>
      <w:r>
        <w:rPr>
          <w:rFonts w:ascii="仿宋" w:hAnsi="仿宋" w:eastAsia="仿宋" w:cs="仿宋"/>
          <w:spacing w:val="6"/>
          <w:sz w:val="31"/>
          <w:szCs w:val="31"/>
        </w:rPr>
        <w:t>严格落实长江黄河上游</w:t>
      </w:r>
      <w:r>
        <w:rPr>
          <w:rFonts w:ascii="仿宋" w:hAnsi="仿宋" w:eastAsia="仿宋" w:cs="仿宋"/>
          <w:spacing w:val="8"/>
          <w:sz w:val="31"/>
          <w:szCs w:val="31"/>
        </w:rPr>
        <w:t>生态屏障和国家生态安全要求，为减少露天建筑用砂石开采对高原生态环境影响。鼓励各县结合自身情况，积极探索为</w:t>
      </w:r>
      <w:r>
        <w:rPr>
          <w:rFonts w:ascii="仿宋" w:hAnsi="仿宋" w:eastAsia="仿宋" w:cs="仿宋"/>
          <w:spacing w:val="21"/>
          <w:sz w:val="31"/>
          <w:szCs w:val="31"/>
        </w:rPr>
        <w:t>重大基础设施建设沿线布局建筑用砂石资源调入储备区划</w:t>
      </w:r>
      <w:bookmarkStart w:id="35" w:name="bookmark22"/>
      <w:bookmarkEnd w:id="35"/>
      <w:r>
        <w:rPr>
          <w:rFonts w:ascii="仿宋" w:hAnsi="仿宋" w:eastAsia="仿宋" w:cs="仿宋"/>
          <w:spacing w:val="8"/>
          <w:sz w:val="31"/>
          <w:szCs w:val="31"/>
        </w:rPr>
        <w:t>定，做好砂石资源储备工作，保障重大基础设施建设需求。</w:t>
      </w:r>
    </w:p>
    <w:p w14:paraId="26039CDF">
      <w:pPr>
        <w:spacing w:before="275" w:line="321" w:lineRule="exact"/>
        <w:ind w:left="1894"/>
        <w:outlineLvl w:val="0"/>
        <w:rPr>
          <w:rFonts w:ascii="微软雅黑" w:hAnsi="微软雅黑" w:eastAsia="微软雅黑" w:cs="微软雅黑"/>
          <w:sz w:val="31"/>
          <w:szCs w:val="31"/>
        </w:rPr>
      </w:pPr>
      <w:bookmarkStart w:id="36" w:name="bookmark42"/>
      <w:bookmarkEnd w:id="36"/>
      <w:r>
        <w:rPr>
          <w:rFonts w:ascii="微软雅黑" w:hAnsi="微软雅黑" w:eastAsia="微软雅黑" w:cs="微软雅黑"/>
          <w:spacing w:val="1"/>
          <w:position w:val="-1"/>
          <w:sz w:val="31"/>
          <w:szCs w:val="31"/>
        </w:rPr>
        <w:t>第四节</w:t>
      </w:r>
      <w:r>
        <w:rPr>
          <w:rFonts w:ascii="微软雅黑" w:hAnsi="微软雅黑" w:eastAsia="微软雅黑" w:cs="微软雅黑"/>
          <w:spacing w:val="81"/>
          <w:position w:val="-1"/>
          <w:sz w:val="31"/>
          <w:szCs w:val="31"/>
        </w:rPr>
        <w:t xml:space="preserve"> </w:t>
      </w:r>
      <w:r>
        <w:rPr>
          <w:rFonts w:ascii="微软雅黑" w:hAnsi="微软雅黑" w:eastAsia="微软雅黑" w:cs="微软雅黑"/>
          <w:spacing w:val="1"/>
          <w:position w:val="-1"/>
          <w:sz w:val="31"/>
          <w:szCs w:val="31"/>
        </w:rPr>
        <w:t>加强矿产资源节约与综合利用</w:t>
      </w:r>
    </w:p>
    <w:p w14:paraId="2941BC98">
      <w:pPr>
        <w:spacing w:line="321" w:lineRule="exact"/>
        <w:rPr>
          <w:rFonts w:ascii="微软雅黑" w:hAnsi="微软雅黑" w:eastAsia="微软雅黑" w:cs="微软雅黑"/>
          <w:sz w:val="31"/>
          <w:szCs w:val="31"/>
        </w:rPr>
        <w:sectPr>
          <w:footerReference r:id="rId37" w:type="default"/>
          <w:pgSz w:w="11904" w:h="16835"/>
          <w:pgMar w:top="1430" w:right="1777" w:bottom="1289" w:left="1785" w:header="0" w:footer="923" w:gutter="0"/>
          <w:cols w:space="720" w:num="1"/>
        </w:sectPr>
      </w:pPr>
    </w:p>
    <w:p w14:paraId="3DB80113">
      <w:pPr>
        <w:spacing w:before="125" w:line="358" w:lineRule="auto"/>
        <w:ind w:left="25" w:right="16" w:firstLine="632"/>
        <w:rPr>
          <w:rFonts w:ascii="仿宋" w:hAnsi="仿宋" w:eastAsia="仿宋" w:cs="仿宋"/>
          <w:sz w:val="31"/>
          <w:szCs w:val="31"/>
        </w:rPr>
      </w:pPr>
      <w:r>
        <w:rPr>
          <w:rFonts w:ascii="微软雅黑" w:hAnsi="微软雅黑" w:eastAsia="微软雅黑" w:cs="微软雅黑"/>
          <w:spacing w:val="7"/>
          <w:sz w:val="31"/>
          <w:szCs w:val="31"/>
        </w:rPr>
        <w:t>提高矿产资源勘查开发利用与节约水平。</w:t>
      </w:r>
      <w:r>
        <w:rPr>
          <w:rFonts w:ascii="仿宋" w:hAnsi="仿宋" w:eastAsia="仿宋" w:cs="仿宋"/>
          <w:spacing w:val="7"/>
          <w:sz w:val="31"/>
          <w:szCs w:val="31"/>
        </w:rPr>
        <w:t>提高综合勘查</w:t>
      </w:r>
      <w:r>
        <w:rPr>
          <w:rFonts w:ascii="仿宋" w:hAnsi="仿宋" w:eastAsia="仿宋" w:cs="仿宋"/>
          <w:spacing w:val="9"/>
          <w:sz w:val="31"/>
          <w:szCs w:val="31"/>
        </w:rPr>
        <w:t>水平，在对主要矿产进行勘查评价的同时，必须</w:t>
      </w:r>
      <w:r>
        <w:rPr>
          <w:rFonts w:ascii="仿宋" w:hAnsi="仿宋" w:eastAsia="仿宋" w:cs="仿宋"/>
          <w:spacing w:val="8"/>
          <w:sz w:val="31"/>
          <w:szCs w:val="31"/>
        </w:rPr>
        <w:t>对铍、铌、</w:t>
      </w:r>
      <w:r>
        <w:rPr>
          <w:rFonts w:ascii="仿宋" w:hAnsi="仿宋" w:eastAsia="仿宋" w:cs="仿宋"/>
          <w:spacing w:val="5"/>
          <w:sz w:val="31"/>
          <w:szCs w:val="31"/>
        </w:rPr>
        <w:t>钽等共伴生矿产一并进行综合评价。</w:t>
      </w:r>
      <w:r>
        <w:rPr>
          <w:rFonts w:ascii="仿宋" w:hAnsi="仿宋" w:eastAsia="仿宋" w:cs="仿宋"/>
          <w:spacing w:val="-56"/>
          <w:sz w:val="31"/>
          <w:szCs w:val="31"/>
        </w:rPr>
        <w:t xml:space="preserve"> </w:t>
      </w:r>
      <w:r>
        <w:rPr>
          <w:rFonts w:ascii="仿宋" w:hAnsi="仿宋" w:eastAsia="仿宋" w:cs="仿宋"/>
          <w:spacing w:val="5"/>
          <w:sz w:val="31"/>
          <w:szCs w:val="31"/>
        </w:rPr>
        <w:t>以锂矿、金矿、铁矿及</w:t>
      </w:r>
      <w:r>
        <w:rPr>
          <w:rFonts w:ascii="仿宋" w:hAnsi="仿宋" w:eastAsia="仿宋" w:cs="仿宋"/>
          <w:spacing w:val="9"/>
          <w:sz w:val="31"/>
          <w:szCs w:val="31"/>
        </w:rPr>
        <w:t>水泥用灰岩等生产矿山为重点，督促并支持矿山</w:t>
      </w:r>
      <w:r>
        <w:rPr>
          <w:rFonts w:ascii="仿宋" w:hAnsi="仿宋" w:eastAsia="仿宋" w:cs="仿宋"/>
          <w:spacing w:val="8"/>
          <w:sz w:val="31"/>
          <w:szCs w:val="31"/>
        </w:rPr>
        <w:t>企业应用、</w:t>
      </w:r>
      <w:r>
        <w:rPr>
          <w:rFonts w:ascii="仿宋" w:hAnsi="仿宋" w:eastAsia="仿宋" w:cs="仿宋"/>
          <w:spacing w:val="9"/>
          <w:sz w:val="31"/>
          <w:szCs w:val="31"/>
        </w:rPr>
        <w:t>推广、开发先进适用的采选技术、工艺和设备，</w:t>
      </w:r>
      <w:r>
        <w:rPr>
          <w:rFonts w:ascii="仿宋" w:hAnsi="仿宋" w:eastAsia="仿宋" w:cs="仿宋"/>
          <w:spacing w:val="8"/>
          <w:sz w:val="31"/>
          <w:szCs w:val="31"/>
        </w:rPr>
        <w:t>提升矿产资</w:t>
      </w:r>
      <w:r>
        <w:rPr>
          <w:rFonts w:ascii="仿宋" w:hAnsi="仿宋" w:eastAsia="仿宋" w:cs="仿宋"/>
          <w:spacing w:val="9"/>
          <w:sz w:val="31"/>
          <w:szCs w:val="31"/>
        </w:rPr>
        <w:t>源采选水平。加强矿业权人对共伴生矿产的综合</w:t>
      </w:r>
      <w:r>
        <w:rPr>
          <w:rFonts w:ascii="仿宋" w:hAnsi="仿宋" w:eastAsia="仿宋" w:cs="仿宋"/>
          <w:spacing w:val="8"/>
          <w:sz w:val="31"/>
          <w:szCs w:val="31"/>
        </w:rPr>
        <w:t>利用监管，</w:t>
      </w:r>
      <w:r>
        <w:rPr>
          <w:rFonts w:ascii="仿宋" w:hAnsi="仿宋" w:eastAsia="仿宋" w:cs="仿宋"/>
          <w:spacing w:val="9"/>
          <w:sz w:val="31"/>
          <w:szCs w:val="31"/>
        </w:rPr>
        <w:t>将锂等矿产在开采、选矿和加工过程中对共伴生</w:t>
      </w:r>
      <w:r>
        <w:rPr>
          <w:rFonts w:ascii="仿宋" w:hAnsi="仿宋" w:eastAsia="仿宋" w:cs="仿宋"/>
          <w:spacing w:val="8"/>
          <w:sz w:val="31"/>
          <w:szCs w:val="31"/>
        </w:rPr>
        <w:t>有益组份的</w:t>
      </w:r>
      <w:r>
        <w:rPr>
          <w:rFonts w:ascii="仿宋" w:hAnsi="仿宋" w:eastAsia="仿宋" w:cs="仿宋"/>
          <w:spacing w:val="9"/>
          <w:sz w:val="31"/>
          <w:szCs w:val="31"/>
        </w:rPr>
        <w:t>分离提取和综合利用情况作为矿山年度动态监测工作重点</w:t>
      </w:r>
    </w:p>
    <w:p w14:paraId="2E001F27">
      <w:pPr>
        <w:spacing w:before="1" w:line="372" w:lineRule="auto"/>
        <w:ind w:left="39" w:right="16" w:hanging="17"/>
        <w:rPr>
          <w:rFonts w:ascii="仿宋" w:hAnsi="仿宋" w:eastAsia="仿宋" w:cs="仿宋"/>
          <w:sz w:val="31"/>
          <w:szCs w:val="31"/>
        </w:rPr>
      </w:pPr>
      <w:r>
        <w:rPr>
          <w:rFonts w:ascii="仿宋" w:hAnsi="仿宋" w:eastAsia="仿宋" w:cs="仿宋"/>
          <w:spacing w:val="7"/>
          <w:sz w:val="31"/>
          <w:szCs w:val="31"/>
        </w:rPr>
        <w:t>检查内容。矿山选矿废水争取实现零排放，到</w:t>
      </w:r>
      <w:r>
        <w:rPr>
          <w:rFonts w:ascii="仿宋" w:hAnsi="仿宋" w:eastAsia="仿宋" w:cs="仿宋"/>
          <w:spacing w:val="-49"/>
          <w:sz w:val="31"/>
          <w:szCs w:val="31"/>
        </w:rPr>
        <w:t xml:space="preserve"> </w:t>
      </w:r>
      <w:r>
        <w:rPr>
          <w:rFonts w:ascii="仿宋" w:hAnsi="仿宋" w:eastAsia="仿宋" w:cs="仿宋"/>
          <w:spacing w:val="7"/>
          <w:sz w:val="31"/>
          <w:szCs w:val="31"/>
        </w:rPr>
        <w:t>2025</w:t>
      </w:r>
      <w:r>
        <w:rPr>
          <w:rFonts w:ascii="仿宋" w:hAnsi="仿宋" w:eastAsia="仿宋" w:cs="仿宋"/>
          <w:spacing w:val="-57"/>
          <w:sz w:val="31"/>
          <w:szCs w:val="31"/>
        </w:rPr>
        <w:t xml:space="preserve"> </w:t>
      </w:r>
      <w:r>
        <w:rPr>
          <w:rFonts w:ascii="仿宋" w:hAnsi="仿宋" w:eastAsia="仿宋" w:cs="仿宋"/>
          <w:spacing w:val="7"/>
          <w:sz w:val="31"/>
          <w:szCs w:val="31"/>
        </w:rPr>
        <w:t>年，全</w:t>
      </w:r>
      <w:r>
        <w:rPr>
          <w:rFonts w:ascii="仿宋" w:hAnsi="仿宋" w:eastAsia="仿宋" w:cs="仿宋"/>
          <w:spacing w:val="2"/>
          <w:sz w:val="31"/>
          <w:szCs w:val="31"/>
        </w:rPr>
        <w:t>州矿山“</w:t>
      </w:r>
      <w:r>
        <w:rPr>
          <w:rFonts w:ascii="仿宋" w:hAnsi="仿宋" w:eastAsia="仿宋" w:cs="仿宋"/>
          <w:spacing w:val="-106"/>
          <w:sz w:val="31"/>
          <w:szCs w:val="31"/>
        </w:rPr>
        <w:t xml:space="preserve"> </w:t>
      </w:r>
      <w:r>
        <w:rPr>
          <w:rFonts w:ascii="仿宋" w:hAnsi="仿宋" w:eastAsia="仿宋" w:cs="仿宋"/>
          <w:spacing w:val="2"/>
          <w:sz w:val="31"/>
          <w:szCs w:val="31"/>
        </w:rPr>
        <w:t>三率”达标率达到</w:t>
      </w:r>
      <w:r>
        <w:rPr>
          <w:rFonts w:ascii="仿宋" w:hAnsi="仿宋" w:eastAsia="仿宋" w:cs="仿宋"/>
          <w:spacing w:val="-45"/>
          <w:sz w:val="31"/>
          <w:szCs w:val="31"/>
        </w:rPr>
        <w:t xml:space="preserve"> </w:t>
      </w:r>
      <w:r>
        <w:rPr>
          <w:rFonts w:ascii="仿宋" w:hAnsi="仿宋" w:eastAsia="仿宋" w:cs="仿宋"/>
          <w:spacing w:val="2"/>
          <w:sz w:val="31"/>
          <w:szCs w:val="31"/>
        </w:rPr>
        <w:t>100%。落实省级规划确定的矿产</w:t>
      </w:r>
      <w:r>
        <w:rPr>
          <w:rFonts w:ascii="仿宋" w:hAnsi="仿宋" w:eastAsia="仿宋" w:cs="仿宋"/>
          <w:spacing w:val="8"/>
          <w:sz w:val="31"/>
          <w:szCs w:val="31"/>
        </w:rPr>
        <w:t>资源开发利用重大工程—川西北锂矿综合利用工程。</w:t>
      </w:r>
    </w:p>
    <w:p w14:paraId="2E5436C3">
      <w:pPr>
        <w:spacing w:line="229" w:lineRule="exact"/>
      </w:pPr>
    </w:p>
    <w:tbl>
      <w:tblPr>
        <w:tblStyle w:val="5"/>
        <w:tblW w:w="8050" w:type="dxa"/>
        <w:tblInd w:w="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50"/>
      </w:tblGrid>
      <w:tr w14:paraId="6D7BB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trPr>
        <w:tc>
          <w:tcPr>
            <w:tcW w:w="8050" w:type="dxa"/>
            <w:shd w:val="clear" w:color="auto" w:fill="9FD3A4"/>
            <w:vAlign w:val="top"/>
          </w:tcPr>
          <w:p w14:paraId="3B638168">
            <w:pPr>
              <w:spacing w:before="149" w:line="223" w:lineRule="auto"/>
              <w:ind w:left="1953"/>
              <w:rPr>
                <w:rFonts w:ascii="黑体" w:hAnsi="黑体" w:eastAsia="黑体" w:cs="黑体"/>
                <w:sz w:val="28"/>
                <w:szCs w:val="28"/>
              </w:rPr>
            </w:pPr>
            <w:r>
              <w:rPr>
                <w:rFonts w:ascii="黑体" w:hAnsi="黑体" w:eastAsia="黑体" w:cs="黑体"/>
                <w:spacing w:val="-2"/>
                <w:sz w:val="28"/>
                <w:szCs w:val="28"/>
              </w:rPr>
              <w:t>专栏</w:t>
            </w:r>
            <w:r>
              <w:rPr>
                <w:rFonts w:ascii="黑体" w:hAnsi="黑体" w:eastAsia="黑体" w:cs="黑体"/>
                <w:spacing w:val="-49"/>
                <w:sz w:val="28"/>
                <w:szCs w:val="28"/>
              </w:rPr>
              <w:t xml:space="preserve"> </w:t>
            </w:r>
            <w:r>
              <w:rPr>
                <w:rFonts w:ascii="黑体" w:hAnsi="黑体" w:eastAsia="黑体" w:cs="黑体"/>
                <w:spacing w:val="-2"/>
                <w:sz w:val="28"/>
                <w:szCs w:val="28"/>
              </w:rPr>
              <w:t>10 矿产资源开发利用重大工程</w:t>
            </w:r>
          </w:p>
        </w:tc>
      </w:tr>
      <w:tr w14:paraId="330BA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9" w:hRule="atLeast"/>
        </w:trPr>
        <w:tc>
          <w:tcPr>
            <w:tcW w:w="8050" w:type="dxa"/>
            <w:vAlign w:val="top"/>
          </w:tcPr>
          <w:p w14:paraId="7956948E">
            <w:pPr>
              <w:pStyle w:val="6"/>
              <w:spacing w:before="93" w:line="358" w:lineRule="auto"/>
              <w:ind w:left="126" w:right="95" w:firstLine="483"/>
              <w:jc w:val="both"/>
              <w:rPr>
                <w:sz w:val="23"/>
                <w:szCs w:val="23"/>
              </w:rPr>
            </w:pPr>
            <w:r>
              <w:rPr>
                <w:rFonts w:ascii="微软雅黑" w:hAnsi="微软雅黑" w:eastAsia="微软雅黑" w:cs="微软雅黑"/>
                <w:spacing w:val="5"/>
                <w:sz w:val="23"/>
                <w:szCs w:val="23"/>
              </w:rPr>
              <w:t>川西北锂矿综合利用工程</w:t>
            </w:r>
            <w:r>
              <w:rPr>
                <w:rFonts w:ascii="微软雅黑" w:hAnsi="微软雅黑" w:eastAsia="微软雅黑" w:cs="微软雅黑"/>
                <w:spacing w:val="51"/>
                <w:sz w:val="23"/>
                <w:szCs w:val="23"/>
              </w:rPr>
              <w:t xml:space="preserve"> </w:t>
            </w:r>
            <w:r>
              <w:rPr>
                <w:rFonts w:ascii="Arial" w:hAnsi="Arial" w:eastAsia="Arial" w:cs="Arial"/>
                <w:spacing w:val="5"/>
                <w:sz w:val="23"/>
                <w:szCs w:val="23"/>
              </w:rPr>
              <w:t>(</w:t>
            </w:r>
            <w:r>
              <w:rPr>
                <w:rFonts w:ascii="Arial" w:hAnsi="Arial" w:eastAsia="Arial" w:cs="Arial"/>
                <w:spacing w:val="21"/>
                <w:sz w:val="23"/>
                <w:szCs w:val="23"/>
              </w:rPr>
              <w:t xml:space="preserve"> </w:t>
            </w:r>
            <w:r>
              <w:rPr>
                <w:rFonts w:ascii="微软雅黑" w:hAnsi="微软雅黑" w:eastAsia="微软雅黑" w:cs="微软雅黑"/>
                <w:spacing w:val="5"/>
                <w:sz w:val="23"/>
                <w:szCs w:val="23"/>
              </w:rPr>
              <w:t>阿坝部分)</w:t>
            </w:r>
            <w:r>
              <w:rPr>
                <w:rFonts w:ascii="微软雅黑" w:hAnsi="微软雅黑" w:eastAsia="微软雅黑" w:cs="微软雅黑"/>
                <w:spacing w:val="47"/>
                <w:w w:val="101"/>
                <w:sz w:val="23"/>
                <w:szCs w:val="23"/>
              </w:rPr>
              <w:t xml:space="preserve"> </w:t>
            </w:r>
            <w:r>
              <w:rPr>
                <w:rFonts w:ascii="Arial" w:hAnsi="Arial" w:eastAsia="Arial" w:cs="Arial"/>
                <w:spacing w:val="5"/>
                <w:sz w:val="23"/>
                <w:szCs w:val="23"/>
              </w:rPr>
              <w:t xml:space="preserve">:   </w:t>
            </w:r>
            <w:r>
              <w:rPr>
                <w:spacing w:val="5"/>
                <w:sz w:val="23"/>
                <w:szCs w:val="23"/>
              </w:rPr>
              <w:t>区内主要依托马尔康市</w:t>
            </w:r>
            <w:r>
              <w:rPr>
                <w:spacing w:val="5"/>
                <w:position w:val="-6"/>
                <w:sz w:val="23"/>
                <w:szCs w:val="23"/>
              </w:rPr>
              <w:t>、</w:t>
            </w:r>
            <w:r>
              <w:rPr>
                <w:spacing w:val="5"/>
                <w:sz w:val="23"/>
                <w:szCs w:val="23"/>
              </w:rPr>
              <w:t>金川</w:t>
            </w:r>
            <w:r>
              <w:rPr>
                <w:spacing w:val="7"/>
                <w:sz w:val="23"/>
                <w:szCs w:val="23"/>
              </w:rPr>
              <w:t>县境内的锂辉石资源，加快锂辉石矿的勘查、开采和综合利用，科学合理地开发锂辉石矿资源。以马尔康党坝锂矿、金川李家沟锂矿及金川业隆沟锂矿等重点矿山为基础，创新探矿和采矿技术，以点带面，带动整个可尔因稀有金属矿集区的探、采矿的发展。以马尔康金鑫矿业有限责任公司、四川德鑫矿业资源有限公司金川奥伊诺公司等锂辉石矿选矿厂为依托，形成相对集中的选矿基地，以便对原矿、矿渣、废水及产生的锂精矿的统一管理。形成全国锂辉石资源战略基地、锂产业原料基地。加快铍、铌、钽、铷、铯等稀有金属的选矿及生产利用的科技攻关的研究工作，提高锂辉石资源的综合利用水平。大力发展循环经济，开展尾矿、矿渣有用稀有金属元素的再回收及新</w:t>
            </w:r>
            <w:r>
              <w:rPr>
                <w:spacing w:val="8"/>
                <w:sz w:val="23"/>
                <w:szCs w:val="23"/>
              </w:rPr>
              <w:t>兴建材产</w:t>
            </w:r>
            <w:r>
              <w:rPr>
                <w:spacing w:val="57"/>
                <w:sz w:val="23"/>
                <w:szCs w:val="23"/>
              </w:rPr>
              <w:t xml:space="preserve"> </w:t>
            </w:r>
            <w:r>
              <w:rPr>
                <w:spacing w:val="8"/>
                <w:sz w:val="23"/>
                <w:szCs w:val="23"/>
              </w:rPr>
              <w:t>品的试验工作，发展锂产业循环经济，减少废弃物排放，实现可</w:t>
            </w:r>
            <w:r>
              <w:rPr>
                <w:spacing w:val="6"/>
                <w:sz w:val="23"/>
                <w:szCs w:val="23"/>
              </w:rPr>
              <w:t>持续发展。</w:t>
            </w:r>
          </w:p>
        </w:tc>
      </w:tr>
    </w:tbl>
    <w:p w14:paraId="73140640">
      <w:pPr>
        <w:pStyle w:val="2"/>
      </w:pPr>
    </w:p>
    <w:p w14:paraId="04BD6CAC">
      <w:pPr>
        <w:sectPr>
          <w:footerReference r:id="rId38" w:type="default"/>
          <w:pgSz w:w="11904" w:h="16835"/>
          <w:pgMar w:top="1430" w:right="1785" w:bottom="1289" w:left="1785" w:header="0" w:footer="923" w:gutter="0"/>
          <w:cols w:space="720" w:num="1"/>
        </w:sectPr>
      </w:pPr>
    </w:p>
    <w:p w14:paraId="248D3CCC">
      <w:pPr>
        <w:pStyle w:val="2"/>
        <w:spacing w:before="125" w:line="355" w:lineRule="auto"/>
        <w:ind w:left="28" w:right="16" w:firstLine="631"/>
        <w:jc w:val="both"/>
        <w:rPr>
          <w:rFonts w:ascii="仿宋" w:hAnsi="仿宋" w:eastAsia="仿宋" w:cs="仿宋"/>
          <w:sz w:val="31"/>
          <w:szCs w:val="31"/>
        </w:rPr>
      </w:pPr>
      <w:r>
        <w:rPr>
          <w:rFonts w:ascii="微软雅黑" w:hAnsi="微软雅黑" w:eastAsia="微软雅黑" w:cs="微软雅黑"/>
          <w:spacing w:val="7"/>
          <w:sz w:val="31"/>
          <w:szCs w:val="31"/>
        </w:rPr>
        <w:t>加强准入管理和监督检查</w:t>
      </w:r>
      <w:r>
        <w:rPr>
          <w:rFonts w:ascii="微软雅黑" w:hAnsi="微软雅黑" w:eastAsia="微软雅黑" w:cs="微软雅黑"/>
          <w:spacing w:val="-49"/>
          <w:sz w:val="31"/>
          <w:szCs w:val="31"/>
        </w:rPr>
        <w:t xml:space="preserve"> </w:t>
      </w:r>
      <w:r>
        <w:rPr>
          <w:spacing w:val="7"/>
          <w:sz w:val="31"/>
          <w:szCs w:val="31"/>
        </w:rPr>
        <w:t>.</w:t>
      </w:r>
      <w:r>
        <w:rPr>
          <w:spacing w:val="27"/>
          <w:sz w:val="31"/>
          <w:szCs w:val="31"/>
        </w:rPr>
        <w:t xml:space="preserve">  </w:t>
      </w:r>
      <w:r>
        <w:rPr>
          <w:rFonts w:ascii="仿宋" w:hAnsi="仿宋" w:eastAsia="仿宋" w:cs="仿宋"/>
          <w:spacing w:val="7"/>
          <w:sz w:val="31"/>
          <w:szCs w:val="31"/>
        </w:rPr>
        <w:t>探索建立对本州矿山资源节</w:t>
      </w:r>
      <w:r>
        <w:rPr>
          <w:rFonts w:ascii="仿宋" w:hAnsi="仿宋" w:eastAsia="仿宋" w:cs="仿宋"/>
          <w:spacing w:val="8"/>
          <w:sz w:val="31"/>
          <w:szCs w:val="31"/>
        </w:rPr>
        <w:t>约与综合利用的监测、监管与考核的管理体系，落实自然资</w:t>
      </w:r>
      <w:r>
        <w:rPr>
          <w:rFonts w:ascii="仿宋" w:hAnsi="仿宋" w:eastAsia="仿宋" w:cs="仿宋"/>
          <w:spacing w:val="5"/>
          <w:sz w:val="31"/>
          <w:szCs w:val="31"/>
        </w:rPr>
        <w:t>源主管部门监督管理职责。加强矿产资源</w:t>
      </w:r>
      <w:r>
        <w:rPr>
          <w:rFonts w:ascii="仿宋" w:hAnsi="仿宋" w:eastAsia="仿宋" w:cs="仿宋"/>
          <w:spacing w:val="-100"/>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三率”水平的准</w:t>
      </w:r>
      <w:r>
        <w:rPr>
          <w:rFonts w:ascii="仿宋" w:hAnsi="仿宋" w:eastAsia="仿宋" w:cs="仿宋"/>
          <w:spacing w:val="8"/>
          <w:sz w:val="31"/>
          <w:szCs w:val="31"/>
        </w:rPr>
        <w:t>入化管理，达不到要求的不得颁发、延续采矿许可证，新建矿山不得采用国家限制和淘汰的采选技术、工艺和设备。强</w:t>
      </w:r>
      <w:r>
        <w:rPr>
          <w:rFonts w:ascii="仿宋" w:hAnsi="仿宋" w:eastAsia="仿宋" w:cs="仿宋"/>
          <w:spacing w:val="5"/>
          <w:sz w:val="31"/>
          <w:szCs w:val="31"/>
        </w:rPr>
        <w:t>化对矿山企业</w:t>
      </w:r>
      <w:r>
        <w:rPr>
          <w:rFonts w:ascii="仿宋" w:hAnsi="仿宋" w:eastAsia="仿宋" w:cs="仿宋"/>
          <w:spacing w:val="-100"/>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三率”水平的监督检查，引导和约束矿山企</w:t>
      </w:r>
      <w:r>
        <w:rPr>
          <w:rFonts w:ascii="仿宋" w:hAnsi="仿宋" w:eastAsia="仿宋" w:cs="仿宋"/>
          <w:spacing w:val="7"/>
          <w:sz w:val="31"/>
          <w:szCs w:val="31"/>
        </w:rPr>
        <w:t>业切实提高矿产资源采选水平。</w:t>
      </w:r>
    </w:p>
    <w:p w14:paraId="189242B4">
      <w:pPr>
        <w:pStyle w:val="2"/>
        <w:spacing w:before="10" w:line="356" w:lineRule="auto"/>
        <w:ind w:left="20" w:right="16" w:firstLine="640"/>
        <w:jc w:val="both"/>
        <w:rPr>
          <w:rFonts w:ascii="仿宋" w:hAnsi="仿宋" w:eastAsia="仿宋" w:cs="仿宋"/>
          <w:sz w:val="31"/>
          <w:szCs w:val="31"/>
        </w:rPr>
      </w:pPr>
      <w:r>
        <w:rPr>
          <w:rFonts w:ascii="微软雅黑" w:hAnsi="微软雅黑" w:eastAsia="微软雅黑" w:cs="微软雅黑"/>
          <w:spacing w:val="6"/>
          <w:sz w:val="31"/>
          <w:szCs w:val="31"/>
        </w:rPr>
        <w:t>加强政策支持力度</w:t>
      </w:r>
      <w:r>
        <w:rPr>
          <w:rFonts w:ascii="微软雅黑" w:hAnsi="微软雅黑" w:eastAsia="微软雅黑" w:cs="微软雅黑"/>
          <w:spacing w:val="-42"/>
          <w:sz w:val="31"/>
          <w:szCs w:val="31"/>
        </w:rPr>
        <w:t xml:space="preserve"> </w:t>
      </w:r>
      <w:r>
        <w:rPr>
          <w:spacing w:val="6"/>
          <w:sz w:val="31"/>
          <w:szCs w:val="31"/>
        </w:rPr>
        <w:t>.</w:t>
      </w:r>
      <w:r>
        <w:rPr>
          <w:spacing w:val="31"/>
          <w:sz w:val="31"/>
          <w:szCs w:val="31"/>
        </w:rPr>
        <w:t xml:space="preserve">  </w:t>
      </w:r>
      <w:r>
        <w:rPr>
          <w:rFonts w:ascii="仿宋" w:hAnsi="仿宋" w:eastAsia="仿宋" w:cs="仿宋"/>
          <w:spacing w:val="6"/>
          <w:sz w:val="31"/>
          <w:szCs w:val="31"/>
        </w:rPr>
        <w:t>执行定期发布鼓励、限制和淘汰的</w:t>
      </w:r>
      <w:r>
        <w:rPr>
          <w:rFonts w:ascii="仿宋" w:hAnsi="仿宋" w:eastAsia="仿宋" w:cs="仿宋"/>
          <w:spacing w:val="9"/>
          <w:sz w:val="31"/>
          <w:szCs w:val="31"/>
        </w:rPr>
        <w:t>技术、工艺、设备名录制度，建立技术咨询服务体系，有效引导矿产资源节约与综合利用。推行矿产资源开发利用水平定期评估制度，综合评判矿山节约与综合利用水平。充分利用国家鼓励提高矿产资源利用水平的财税和经济政策，为资源利用效率高、技术先进、实施综合勘查开发的矿山企业提</w:t>
      </w:r>
      <w:bookmarkStart w:id="37" w:name="bookmark23"/>
      <w:bookmarkEnd w:id="37"/>
      <w:r>
        <w:rPr>
          <w:rFonts w:ascii="仿宋" w:hAnsi="仿宋" w:eastAsia="仿宋" w:cs="仿宋"/>
          <w:spacing w:val="8"/>
          <w:sz w:val="31"/>
          <w:szCs w:val="31"/>
        </w:rPr>
        <w:t>供优先供地、优先审批等优惠政策。</w:t>
      </w:r>
    </w:p>
    <w:p w14:paraId="42027DA9">
      <w:pPr>
        <w:spacing w:before="267" w:line="325" w:lineRule="exact"/>
        <w:ind w:left="2369"/>
        <w:outlineLvl w:val="0"/>
        <w:rPr>
          <w:rFonts w:ascii="微软雅黑" w:hAnsi="微软雅黑" w:eastAsia="微软雅黑" w:cs="微软雅黑"/>
          <w:sz w:val="31"/>
          <w:szCs w:val="31"/>
        </w:rPr>
      </w:pPr>
      <w:bookmarkStart w:id="38" w:name="bookmark43"/>
      <w:bookmarkEnd w:id="38"/>
      <w:r>
        <w:rPr>
          <w:rFonts w:ascii="微软雅黑" w:hAnsi="微软雅黑" w:eastAsia="微软雅黑" w:cs="微软雅黑"/>
          <w:spacing w:val="1"/>
          <w:position w:val="-1"/>
          <w:sz w:val="31"/>
          <w:szCs w:val="31"/>
        </w:rPr>
        <w:t>第五节  深化矿产资源管理改革</w:t>
      </w:r>
    </w:p>
    <w:p w14:paraId="7C7A2D53">
      <w:pPr>
        <w:pStyle w:val="2"/>
        <w:spacing w:line="437" w:lineRule="auto"/>
      </w:pPr>
    </w:p>
    <w:p w14:paraId="464B79F1">
      <w:pPr>
        <w:spacing w:before="133" w:line="351" w:lineRule="auto"/>
        <w:ind w:left="26" w:right="16" w:firstLine="653"/>
        <w:jc w:val="both"/>
        <w:rPr>
          <w:rFonts w:ascii="仿宋" w:hAnsi="仿宋" w:eastAsia="仿宋" w:cs="仿宋"/>
          <w:sz w:val="31"/>
          <w:szCs w:val="31"/>
        </w:rPr>
      </w:pPr>
      <w:r>
        <w:rPr>
          <w:rFonts w:ascii="微软雅黑" w:hAnsi="微软雅黑" w:eastAsia="微软雅黑" w:cs="微软雅黑"/>
          <w:spacing w:val="3"/>
          <w:sz w:val="31"/>
          <w:szCs w:val="31"/>
        </w:rPr>
        <w:t>完善  "净矿"  出让配套措施</w:t>
      </w:r>
      <w:r>
        <w:rPr>
          <w:rFonts w:ascii="微软雅黑" w:hAnsi="微软雅黑" w:eastAsia="微软雅黑" w:cs="微软雅黑"/>
          <w:spacing w:val="-39"/>
          <w:sz w:val="31"/>
          <w:szCs w:val="31"/>
        </w:rPr>
        <w:t xml:space="preserve"> </w:t>
      </w:r>
      <w:r>
        <w:rPr>
          <w:rFonts w:ascii="微软雅黑" w:hAnsi="微软雅黑" w:eastAsia="微软雅黑" w:cs="微软雅黑"/>
          <w:spacing w:val="3"/>
          <w:sz w:val="31"/>
          <w:szCs w:val="31"/>
        </w:rPr>
        <w:t>。</w:t>
      </w:r>
      <w:r>
        <w:rPr>
          <w:rFonts w:ascii="微软雅黑" w:hAnsi="微软雅黑" w:eastAsia="微软雅黑" w:cs="微软雅黑"/>
          <w:spacing w:val="-61"/>
          <w:sz w:val="31"/>
          <w:szCs w:val="31"/>
        </w:rPr>
        <w:t xml:space="preserve"> </w:t>
      </w:r>
      <w:r>
        <w:rPr>
          <w:rFonts w:ascii="仿宋" w:hAnsi="仿宋" w:eastAsia="仿宋" w:cs="仿宋"/>
          <w:spacing w:val="3"/>
          <w:sz w:val="31"/>
          <w:szCs w:val="31"/>
        </w:rPr>
        <w:t>坚持市场竞争取向</w:t>
      </w:r>
      <w:r>
        <w:rPr>
          <w:rFonts w:ascii="仿宋" w:hAnsi="仿宋" w:eastAsia="仿宋" w:cs="仿宋"/>
          <w:spacing w:val="3"/>
          <w:position w:val="-9"/>
          <w:sz w:val="31"/>
          <w:szCs w:val="31"/>
        </w:rPr>
        <w:t>，</w:t>
      </w:r>
      <w:r>
        <w:rPr>
          <w:rFonts w:ascii="仿宋" w:hAnsi="仿宋" w:eastAsia="仿宋" w:cs="仿宋"/>
          <w:spacing w:val="3"/>
          <w:sz w:val="31"/>
          <w:szCs w:val="31"/>
        </w:rPr>
        <w:t>遵循</w:t>
      </w:r>
      <w:r>
        <w:rPr>
          <w:rFonts w:ascii="仿宋" w:hAnsi="仿宋" w:eastAsia="仿宋" w:cs="仿宋"/>
          <w:spacing w:val="9"/>
          <w:sz w:val="31"/>
          <w:szCs w:val="31"/>
        </w:rPr>
        <w:t>矿业发展规律，严格限制协议出让配置资源，</w:t>
      </w:r>
      <w:r>
        <w:rPr>
          <w:rFonts w:ascii="仿宋" w:hAnsi="仿宋" w:eastAsia="仿宋" w:cs="仿宋"/>
          <w:spacing w:val="8"/>
          <w:sz w:val="31"/>
          <w:szCs w:val="31"/>
        </w:rPr>
        <w:t>除自然资源部</w:t>
      </w:r>
      <w:r>
        <w:rPr>
          <w:rFonts w:ascii="仿宋" w:hAnsi="仿宋" w:eastAsia="仿宋" w:cs="仿宋"/>
          <w:spacing w:val="4"/>
          <w:sz w:val="31"/>
          <w:szCs w:val="31"/>
        </w:rPr>
        <w:t>关于推进矿产资源管理改革若干事项的意见(试行)》（</w:t>
      </w:r>
      <w:r>
        <w:rPr>
          <w:rFonts w:ascii="仿宋" w:hAnsi="仿宋" w:eastAsia="仿宋" w:cs="仿宋"/>
          <w:spacing w:val="-35"/>
          <w:sz w:val="31"/>
          <w:szCs w:val="31"/>
        </w:rPr>
        <w:t xml:space="preserve"> </w:t>
      </w:r>
      <w:r>
        <w:rPr>
          <w:rFonts w:ascii="仿宋" w:hAnsi="仿宋" w:eastAsia="仿宋" w:cs="仿宋"/>
          <w:spacing w:val="4"/>
          <w:sz w:val="31"/>
          <w:szCs w:val="31"/>
        </w:rPr>
        <w:t>自然</w:t>
      </w:r>
      <w:r>
        <w:rPr>
          <w:rFonts w:ascii="仿宋" w:hAnsi="仿宋" w:eastAsia="仿宋" w:cs="仿宋"/>
          <w:spacing w:val="10"/>
          <w:sz w:val="31"/>
          <w:szCs w:val="31"/>
        </w:rPr>
        <w:t>资规〔2019〕7</w:t>
      </w:r>
      <w:r>
        <w:rPr>
          <w:rFonts w:ascii="仿宋" w:hAnsi="仿宋" w:eastAsia="仿宋" w:cs="仿宋"/>
          <w:spacing w:val="-48"/>
          <w:sz w:val="31"/>
          <w:szCs w:val="31"/>
        </w:rPr>
        <w:t xml:space="preserve"> </w:t>
      </w:r>
      <w:r>
        <w:rPr>
          <w:rFonts w:ascii="仿宋" w:hAnsi="仿宋" w:eastAsia="仿宋" w:cs="仿宋"/>
          <w:spacing w:val="10"/>
          <w:sz w:val="31"/>
          <w:szCs w:val="31"/>
        </w:rPr>
        <w:t>号）规定的可以协议出让的情形以</w:t>
      </w:r>
      <w:r>
        <w:rPr>
          <w:rFonts w:ascii="仿宋" w:hAnsi="仿宋" w:eastAsia="仿宋" w:cs="仿宋"/>
          <w:spacing w:val="9"/>
          <w:sz w:val="31"/>
          <w:szCs w:val="31"/>
        </w:rPr>
        <w:t>外，均实行竞争性出让，建立州级矿业权出让年度计划</w:t>
      </w:r>
      <w:r>
        <w:rPr>
          <w:rFonts w:ascii="仿宋" w:hAnsi="仿宋" w:eastAsia="仿宋" w:cs="仿宋"/>
          <w:spacing w:val="8"/>
          <w:sz w:val="31"/>
          <w:szCs w:val="31"/>
        </w:rPr>
        <w:t>制度，建设州</w:t>
      </w:r>
      <w:r>
        <w:rPr>
          <w:rFonts w:ascii="仿宋" w:hAnsi="仿宋" w:eastAsia="仿宋" w:cs="仿宋"/>
          <w:sz w:val="31"/>
          <w:szCs w:val="31"/>
        </w:rPr>
        <w:t>级拟出让矿业权数据库。</w:t>
      </w:r>
      <w:r>
        <w:rPr>
          <w:rFonts w:ascii="仿宋" w:hAnsi="仿宋" w:eastAsia="仿宋" w:cs="仿宋"/>
          <w:spacing w:val="-61"/>
          <w:sz w:val="31"/>
          <w:szCs w:val="31"/>
        </w:rPr>
        <w:t xml:space="preserve"> </w:t>
      </w:r>
      <w:r>
        <w:rPr>
          <w:rFonts w:ascii="仿宋" w:hAnsi="仿宋" w:eastAsia="仿宋" w:cs="仿宋"/>
          <w:sz w:val="31"/>
          <w:szCs w:val="31"/>
        </w:rPr>
        <w:t>以</w:t>
      </w:r>
      <w:r>
        <w:rPr>
          <w:rFonts w:ascii="仿宋" w:hAnsi="仿宋" w:eastAsia="仿宋" w:cs="仿宋"/>
          <w:spacing w:val="-41"/>
          <w:sz w:val="31"/>
          <w:szCs w:val="31"/>
        </w:rPr>
        <w:t xml:space="preserve"> </w:t>
      </w:r>
      <w:r>
        <w:rPr>
          <w:rFonts w:ascii="仿宋" w:hAnsi="仿宋" w:eastAsia="仿宋" w:cs="仿宋"/>
          <w:sz w:val="31"/>
          <w:szCs w:val="31"/>
        </w:rPr>
        <w:t>1</w:t>
      </w:r>
      <w:r>
        <w:rPr>
          <w:rFonts w:ascii="仿宋" w:hAnsi="仿宋" w:eastAsia="仿宋" w:cs="仿宋"/>
          <w:spacing w:val="-47"/>
          <w:sz w:val="31"/>
          <w:szCs w:val="31"/>
        </w:rPr>
        <w:t xml:space="preserve"> </w:t>
      </w:r>
      <w:r>
        <w:rPr>
          <w:rFonts w:ascii="仿宋" w:hAnsi="仿宋" w:eastAsia="仿宋" w:cs="仿宋"/>
          <w:sz w:val="31"/>
          <w:szCs w:val="31"/>
        </w:rPr>
        <w:t>到</w:t>
      </w:r>
      <w:r>
        <w:rPr>
          <w:rFonts w:ascii="仿宋" w:hAnsi="仿宋" w:eastAsia="仿宋" w:cs="仿宋"/>
          <w:spacing w:val="-49"/>
          <w:sz w:val="31"/>
          <w:szCs w:val="31"/>
        </w:rPr>
        <w:t xml:space="preserve"> </w:t>
      </w:r>
      <w:r>
        <w:rPr>
          <w:rFonts w:ascii="仿宋" w:hAnsi="仿宋" w:eastAsia="仿宋" w:cs="仿宋"/>
          <w:sz w:val="31"/>
          <w:szCs w:val="31"/>
        </w:rPr>
        <w:t>2</w:t>
      </w:r>
      <w:r>
        <w:rPr>
          <w:rFonts w:ascii="仿宋" w:hAnsi="仿宋" w:eastAsia="仿宋" w:cs="仿宋"/>
          <w:spacing w:val="-39"/>
          <w:sz w:val="31"/>
          <w:szCs w:val="31"/>
        </w:rPr>
        <w:t xml:space="preserve"> </w:t>
      </w:r>
      <w:r>
        <w:rPr>
          <w:rFonts w:ascii="仿宋" w:hAnsi="仿宋" w:eastAsia="仿宋" w:cs="仿宋"/>
          <w:sz w:val="31"/>
          <w:szCs w:val="31"/>
        </w:rPr>
        <w:t>宗矿业权出让为试点，建</w:t>
      </w:r>
    </w:p>
    <w:p w14:paraId="1DEFD543">
      <w:pPr>
        <w:spacing w:line="351" w:lineRule="auto"/>
        <w:rPr>
          <w:rFonts w:ascii="仿宋" w:hAnsi="仿宋" w:eastAsia="仿宋" w:cs="仿宋"/>
          <w:sz w:val="31"/>
          <w:szCs w:val="31"/>
        </w:rPr>
        <w:sectPr>
          <w:footerReference r:id="rId39" w:type="default"/>
          <w:pgSz w:w="11904" w:h="16835"/>
          <w:pgMar w:top="1430" w:right="1785" w:bottom="1289" w:left="1785" w:header="0" w:footer="923" w:gutter="0"/>
          <w:cols w:space="720" w:num="1"/>
        </w:sectPr>
      </w:pPr>
    </w:p>
    <w:p w14:paraId="2FCE8F8C">
      <w:pPr>
        <w:spacing w:before="135" w:line="368" w:lineRule="auto"/>
        <w:ind w:left="33" w:right="16" w:firstLine="6"/>
        <w:rPr>
          <w:rFonts w:ascii="仿宋" w:hAnsi="仿宋" w:eastAsia="仿宋" w:cs="仿宋"/>
          <w:sz w:val="31"/>
          <w:szCs w:val="31"/>
        </w:rPr>
      </w:pPr>
      <w:r>
        <w:rPr>
          <w:rFonts w:ascii="仿宋" w:hAnsi="仿宋" w:eastAsia="仿宋" w:cs="仿宋"/>
          <w:spacing w:val="4"/>
          <w:sz w:val="31"/>
          <w:szCs w:val="31"/>
        </w:rPr>
        <w:t>立州级</w:t>
      </w:r>
      <w:r>
        <w:rPr>
          <w:rFonts w:ascii="仿宋" w:hAnsi="仿宋" w:eastAsia="仿宋" w:cs="仿宋"/>
          <w:spacing w:val="-98"/>
          <w:sz w:val="31"/>
          <w:szCs w:val="31"/>
        </w:rPr>
        <w:t xml:space="preserve"> </w:t>
      </w:r>
      <w:r>
        <w:rPr>
          <w:rFonts w:ascii="仿宋" w:hAnsi="仿宋" w:eastAsia="仿宋" w:cs="仿宋"/>
          <w:spacing w:val="4"/>
          <w:sz w:val="31"/>
          <w:szCs w:val="31"/>
        </w:rPr>
        <w:t>“净矿”</w:t>
      </w:r>
      <w:r>
        <w:rPr>
          <w:rFonts w:ascii="仿宋" w:hAnsi="仿宋" w:eastAsia="仿宋" w:cs="仿宋"/>
          <w:spacing w:val="-101"/>
          <w:sz w:val="31"/>
          <w:szCs w:val="31"/>
        </w:rPr>
        <w:t xml:space="preserve"> </w:t>
      </w:r>
      <w:r>
        <w:rPr>
          <w:rFonts w:ascii="仿宋" w:hAnsi="仿宋" w:eastAsia="仿宋" w:cs="仿宋"/>
          <w:spacing w:val="4"/>
          <w:sz w:val="31"/>
          <w:szCs w:val="31"/>
        </w:rPr>
        <w:t>出让实施办法，在后续出让工作中不断完善</w:t>
      </w:r>
      <w:r>
        <w:rPr>
          <w:rFonts w:ascii="仿宋" w:hAnsi="仿宋" w:eastAsia="仿宋" w:cs="仿宋"/>
          <w:spacing w:val="3"/>
          <w:sz w:val="31"/>
          <w:szCs w:val="31"/>
        </w:rPr>
        <w:t>和优化，形成适合州情的</w:t>
      </w:r>
      <w:r>
        <w:rPr>
          <w:rFonts w:ascii="仿宋" w:hAnsi="仿宋" w:eastAsia="仿宋" w:cs="仿宋"/>
          <w:spacing w:val="-97"/>
          <w:sz w:val="31"/>
          <w:szCs w:val="31"/>
        </w:rPr>
        <w:t xml:space="preserve"> </w:t>
      </w:r>
      <w:r>
        <w:rPr>
          <w:rFonts w:ascii="仿宋" w:hAnsi="仿宋" w:eastAsia="仿宋" w:cs="仿宋"/>
          <w:spacing w:val="3"/>
          <w:sz w:val="31"/>
          <w:szCs w:val="31"/>
        </w:rPr>
        <w:t>“净矿”</w:t>
      </w:r>
      <w:r>
        <w:rPr>
          <w:rFonts w:ascii="仿宋" w:hAnsi="仿宋" w:eastAsia="仿宋" w:cs="仿宋"/>
          <w:spacing w:val="-97"/>
          <w:sz w:val="31"/>
          <w:szCs w:val="31"/>
        </w:rPr>
        <w:t xml:space="preserve"> </w:t>
      </w:r>
      <w:r>
        <w:rPr>
          <w:rFonts w:ascii="仿宋" w:hAnsi="仿宋" w:eastAsia="仿宋" w:cs="仿宋"/>
          <w:spacing w:val="3"/>
          <w:sz w:val="31"/>
          <w:szCs w:val="31"/>
        </w:rPr>
        <w:t>出让管理办法。</w:t>
      </w:r>
    </w:p>
    <w:p w14:paraId="6413F2A1">
      <w:pPr>
        <w:spacing w:before="6" w:line="344" w:lineRule="auto"/>
        <w:ind w:left="23" w:right="6" w:firstLine="618"/>
        <w:jc w:val="both"/>
        <w:rPr>
          <w:rFonts w:ascii="仿宋" w:hAnsi="仿宋" w:eastAsia="仿宋" w:cs="仿宋"/>
          <w:sz w:val="31"/>
          <w:szCs w:val="31"/>
        </w:rPr>
      </w:pPr>
      <w:r>
        <w:rPr>
          <w:rFonts w:ascii="微软雅黑" w:hAnsi="微软雅黑" w:eastAsia="微软雅黑" w:cs="微软雅黑"/>
          <w:spacing w:val="-1"/>
          <w:sz w:val="31"/>
          <w:szCs w:val="31"/>
        </w:rPr>
        <w:t xml:space="preserve">鼓励社会资本投资矿产勘查.  </w:t>
      </w:r>
      <w:r>
        <w:rPr>
          <w:rFonts w:ascii="仿宋" w:hAnsi="仿宋" w:eastAsia="仿宋" w:cs="仿宋"/>
          <w:spacing w:val="-1"/>
          <w:sz w:val="31"/>
          <w:szCs w:val="31"/>
        </w:rPr>
        <w:t>进一步开放矿产勘查市场</w:t>
      </w:r>
      <w:r>
        <w:rPr>
          <w:rFonts w:ascii="仿宋" w:hAnsi="仿宋" w:eastAsia="仿宋" w:cs="仿宋"/>
          <w:spacing w:val="-1"/>
          <w:position w:val="-9"/>
          <w:sz w:val="31"/>
          <w:szCs w:val="31"/>
        </w:rPr>
        <w:t>，</w:t>
      </w:r>
      <w:r>
        <w:rPr>
          <w:rFonts w:ascii="仿宋" w:hAnsi="仿宋" w:eastAsia="仿宋" w:cs="仿宋"/>
          <w:spacing w:val="-3"/>
          <w:sz w:val="31"/>
          <w:szCs w:val="31"/>
        </w:rPr>
        <w:t>鼓励、支持和引导社会资本投入地质勘查工作。引导鼓励社会资本自主组建勘查单位，开展矿产勘查，积极推进资本和技术有机结合，形成多渠道矿产勘查投入新机制。探索地热等具有</w:t>
      </w:r>
      <w:r>
        <w:rPr>
          <w:rFonts w:ascii="仿宋" w:hAnsi="仿宋" w:eastAsia="仿宋" w:cs="仿宋"/>
          <w:sz w:val="31"/>
          <w:szCs w:val="31"/>
        </w:rPr>
        <w:t>旅游资源属性的矿产与土地出让相结合的出</w:t>
      </w:r>
      <w:r>
        <w:rPr>
          <w:rFonts w:ascii="仿宋" w:hAnsi="仿宋" w:eastAsia="仿宋" w:cs="仿宋"/>
          <w:spacing w:val="-1"/>
          <w:sz w:val="31"/>
          <w:szCs w:val="31"/>
        </w:rPr>
        <w:t>让新模式。</w:t>
      </w:r>
    </w:p>
    <w:p w14:paraId="23570922">
      <w:pPr>
        <w:pStyle w:val="2"/>
        <w:spacing w:before="4" w:line="349" w:lineRule="auto"/>
        <w:ind w:left="23" w:right="6" w:firstLine="620"/>
        <w:rPr>
          <w:rFonts w:ascii="仿宋" w:hAnsi="仿宋" w:eastAsia="仿宋" w:cs="仿宋"/>
          <w:sz w:val="31"/>
          <w:szCs w:val="31"/>
        </w:rPr>
      </w:pPr>
      <w:r>
        <w:rPr>
          <w:rFonts w:ascii="微软雅黑" w:hAnsi="微软雅黑" w:eastAsia="微软雅黑" w:cs="微软雅黑"/>
          <w:spacing w:val="-4"/>
          <w:sz w:val="31"/>
          <w:szCs w:val="31"/>
        </w:rPr>
        <w:t>持续深化矿产资源储量管理改革</w:t>
      </w:r>
      <w:r>
        <w:rPr>
          <w:spacing w:val="-4"/>
          <w:sz w:val="31"/>
          <w:szCs w:val="31"/>
        </w:rPr>
        <w:t>.</w:t>
      </w:r>
      <w:r>
        <w:rPr>
          <w:spacing w:val="41"/>
          <w:sz w:val="31"/>
          <w:szCs w:val="31"/>
        </w:rPr>
        <w:t xml:space="preserve">  </w:t>
      </w:r>
      <w:r>
        <w:rPr>
          <w:rFonts w:ascii="仿宋" w:hAnsi="仿宋" w:eastAsia="仿宋" w:cs="仿宋"/>
          <w:spacing w:val="-4"/>
          <w:sz w:val="31"/>
          <w:szCs w:val="31"/>
        </w:rPr>
        <w:t>以矿产资源国情调查成</w:t>
      </w:r>
      <w:r>
        <w:rPr>
          <w:rFonts w:ascii="仿宋" w:hAnsi="仿宋" w:eastAsia="仿宋" w:cs="仿宋"/>
          <w:spacing w:val="-3"/>
          <w:sz w:val="31"/>
          <w:szCs w:val="31"/>
        </w:rPr>
        <w:t>果为基础，建立真实可靠的州级矿产资源储量数据本底，加强</w:t>
      </w:r>
      <w:r>
        <w:rPr>
          <w:rFonts w:ascii="仿宋" w:hAnsi="仿宋" w:eastAsia="仿宋" w:cs="仿宋"/>
          <w:sz w:val="31"/>
          <w:szCs w:val="31"/>
        </w:rPr>
        <w:t>完善年度动态监测和储量统计年报相结合的储量数</w:t>
      </w:r>
      <w:r>
        <w:rPr>
          <w:rFonts w:ascii="仿宋" w:hAnsi="仿宋" w:eastAsia="仿宋" w:cs="仿宋"/>
          <w:spacing w:val="-1"/>
          <w:sz w:val="31"/>
          <w:szCs w:val="31"/>
        </w:rPr>
        <w:t>据动态更</w:t>
      </w:r>
      <w:r>
        <w:rPr>
          <w:rFonts w:ascii="仿宋" w:hAnsi="仿宋" w:eastAsia="仿宋" w:cs="仿宋"/>
          <w:spacing w:val="-3"/>
          <w:sz w:val="31"/>
          <w:szCs w:val="31"/>
        </w:rPr>
        <w:t>新制度，确保储量数据同源自洽。规范矿产资源储量备案登记</w:t>
      </w:r>
      <w:r>
        <w:rPr>
          <w:rFonts w:ascii="仿宋" w:hAnsi="仿宋" w:eastAsia="仿宋" w:cs="仿宋"/>
          <w:spacing w:val="-4"/>
          <w:sz w:val="31"/>
          <w:szCs w:val="31"/>
        </w:rPr>
        <w:t>入库流程，探索建立州级地质资料汇交管理和信息管理机制。</w:t>
      </w:r>
    </w:p>
    <w:p w14:paraId="7967AA3A">
      <w:pPr>
        <w:spacing w:before="2" w:line="352" w:lineRule="auto"/>
        <w:ind w:left="31" w:right="6" w:firstLine="612"/>
        <w:rPr>
          <w:rFonts w:ascii="仿宋" w:hAnsi="仿宋" w:eastAsia="仿宋" w:cs="仿宋"/>
          <w:sz w:val="31"/>
          <w:szCs w:val="31"/>
        </w:rPr>
      </w:pPr>
      <w:r>
        <w:rPr>
          <w:rFonts w:ascii="微软雅黑" w:hAnsi="微软雅黑" w:eastAsia="微软雅黑" w:cs="微软雅黑"/>
          <w:spacing w:val="-5"/>
          <w:sz w:val="31"/>
          <w:szCs w:val="31"/>
        </w:rPr>
        <w:t>规范矿产资源勘查开发监督方式</w:t>
      </w:r>
      <w:r>
        <w:rPr>
          <w:rFonts w:ascii="微软雅黑" w:hAnsi="微软雅黑" w:eastAsia="微软雅黑" w:cs="微软雅黑"/>
          <w:spacing w:val="-37"/>
          <w:sz w:val="31"/>
          <w:szCs w:val="31"/>
        </w:rPr>
        <w:t xml:space="preserve"> </w:t>
      </w:r>
      <w:r>
        <w:rPr>
          <w:rFonts w:ascii="微软雅黑" w:hAnsi="微软雅黑" w:eastAsia="微软雅黑" w:cs="微软雅黑"/>
          <w:spacing w:val="-5"/>
          <w:sz w:val="31"/>
          <w:szCs w:val="31"/>
        </w:rPr>
        <w:t>。</w:t>
      </w:r>
      <w:r>
        <w:rPr>
          <w:rFonts w:ascii="仿宋" w:hAnsi="仿宋" w:eastAsia="仿宋" w:cs="仿宋"/>
          <w:spacing w:val="-5"/>
          <w:sz w:val="31"/>
          <w:szCs w:val="31"/>
        </w:rPr>
        <w:t>设置矿产督察员</w:t>
      </w:r>
      <w:r>
        <w:rPr>
          <w:rFonts w:ascii="仿宋" w:hAnsi="仿宋" w:eastAsia="仿宋" w:cs="仿宋"/>
          <w:spacing w:val="-5"/>
          <w:position w:val="-9"/>
          <w:sz w:val="31"/>
          <w:szCs w:val="31"/>
        </w:rPr>
        <w:t>，</w:t>
      </w:r>
      <w:r>
        <w:rPr>
          <w:rFonts w:ascii="仿宋" w:hAnsi="仿宋" w:eastAsia="仿宋" w:cs="仿宋"/>
          <w:spacing w:val="-5"/>
          <w:sz w:val="31"/>
          <w:szCs w:val="31"/>
        </w:rPr>
        <w:t>明确</w:t>
      </w:r>
      <w:r>
        <w:rPr>
          <w:rFonts w:ascii="仿宋" w:hAnsi="仿宋" w:eastAsia="仿宋" w:cs="仿宋"/>
          <w:spacing w:val="-3"/>
          <w:sz w:val="31"/>
          <w:szCs w:val="31"/>
        </w:rPr>
        <w:t>专门人员，负责国家和地方矿产督察员的日常管理工作。在州政府统筹协调、有关部门共同参与下，开展联合执法检查。对矿业权人勘查开采和矿山地质环境治理、土地复垦情况进行重点监管，建立矿业权人档案，将日常监管中发现的矿业权人违法行为记录在案，作为年度检查的依据，全面推行“掌上执法监管”。</w:t>
      </w:r>
    </w:p>
    <w:p w14:paraId="717B9DF8">
      <w:pPr>
        <w:pStyle w:val="2"/>
        <w:spacing w:before="2" w:line="337" w:lineRule="auto"/>
        <w:ind w:left="36" w:right="6" w:firstLine="603"/>
        <w:jc w:val="both"/>
        <w:rPr>
          <w:rFonts w:ascii="仿宋" w:hAnsi="仿宋" w:eastAsia="仿宋" w:cs="仿宋"/>
          <w:sz w:val="31"/>
          <w:szCs w:val="31"/>
        </w:rPr>
      </w:pPr>
      <w:r>
        <w:rPr>
          <w:rFonts w:ascii="微软雅黑" w:hAnsi="微软雅黑" w:eastAsia="微软雅黑" w:cs="微软雅黑"/>
          <w:spacing w:val="-2"/>
          <w:sz w:val="31"/>
          <w:szCs w:val="31"/>
        </w:rPr>
        <w:t>保障矿业权人合法权益</w:t>
      </w:r>
      <w:r>
        <w:rPr>
          <w:rFonts w:ascii="微软雅黑" w:hAnsi="微软雅黑" w:eastAsia="微软雅黑" w:cs="微软雅黑"/>
          <w:spacing w:val="-52"/>
          <w:sz w:val="31"/>
          <w:szCs w:val="31"/>
        </w:rPr>
        <w:t xml:space="preserve"> </w:t>
      </w:r>
      <w:r>
        <w:rPr>
          <w:spacing w:val="-2"/>
          <w:sz w:val="31"/>
          <w:szCs w:val="31"/>
        </w:rPr>
        <w:t xml:space="preserve">.  </w:t>
      </w:r>
      <w:r>
        <w:rPr>
          <w:rFonts w:ascii="仿宋" w:hAnsi="仿宋" w:eastAsia="仿宋" w:cs="仿宋"/>
          <w:spacing w:val="-2"/>
          <w:sz w:val="31"/>
          <w:szCs w:val="31"/>
        </w:rPr>
        <w:t>矿业权人在划定的矿区范围内依</w:t>
      </w:r>
      <w:r>
        <w:rPr>
          <w:rFonts w:ascii="仿宋" w:hAnsi="仿宋" w:eastAsia="仿宋" w:cs="仿宋"/>
          <w:spacing w:val="-3"/>
          <w:sz w:val="31"/>
          <w:szCs w:val="31"/>
        </w:rPr>
        <w:t>法勘查开采矿产资源，任何单位和个人不得侵占其矿区范围而</w:t>
      </w:r>
      <w:r>
        <w:rPr>
          <w:rFonts w:ascii="仿宋" w:hAnsi="仿宋" w:eastAsia="仿宋" w:cs="仿宋"/>
          <w:spacing w:val="-1"/>
          <w:sz w:val="31"/>
          <w:szCs w:val="31"/>
        </w:rPr>
        <w:t>影响矿业权人合法生产作业活动。政府各有关部门、当地乡</w:t>
      </w:r>
    </w:p>
    <w:p w14:paraId="16EC992E">
      <w:pPr>
        <w:spacing w:line="337" w:lineRule="auto"/>
        <w:rPr>
          <w:rFonts w:ascii="仿宋" w:hAnsi="仿宋" w:eastAsia="仿宋" w:cs="仿宋"/>
          <w:sz w:val="31"/>
          <w:szCs w:val="31"/>
        </w:rPr>
        <w:sectPr>
          <w:footerReference r:id="rId40" w:type="default"/>
          <w:pgSz w:w="11904" w:h="16835"/>
          <w:pgMar w:top="1430" w:right="1785" w:bottom="1289" w:left="1785" w:header="0" w:footer="923" w:gutter="0"/>
          <w:cols w:space="720" w:num="1"/>
        </w:sectPr>
      </w:pPr>
    </w:p>
    <w:p w14:paraId="014A2159">
      <w:pPr>
        <w:spacing w:before="138" w:line="369" w:lineRule="auto"/>
        <w:ind w:left="20" w:right="63" w:hanging="3"/>
        <w:jc w:val="both"/>
        <w:rPr>
          <w:rFonts w:ascii="仿宋" w:hAnsi="仿宋" w:eastAsia="仿宋" w:cs="仿宋"/>
          <w:sz w:val="31"/>
          <w:szCs w:val="31"/>
        </w:rPr>
      </w:pPr>
      <w:r>
        <w:rPr>
          <w:rFonts w:ascii="仿宋" w:hAnsi="仿宋" w:eastAsia="仿宋" w:cs="仿宋"/>
          <w:spacing w:val="-3"/>
          <w:sz w:val="31"/>
          <w:szCs w:val="31"/>
        </w:rPr>
        <w:t>（镇）政府和群众应积极支持矿业权人合法的生产作业活动。依法保护探矿权人的合法权益，保障其发现经济矿床后依法取得采矿权。已取得采矿权的矿山企业，因变更企业资产产权而</w:t>
      </w:r>
      <w:r>
        <w:rPr>
          <w:rFonts w:ascii="仿宋" w:hAnsi="仿宋" w:eastAsia="仿宋" w:cs="仿宋"/>
          <w:sz w:val="31"/>
          <w:szCs w:val="31"/>
        </w:rPr>
        <w:t>需变更采矿权主体的，经依法批准即可转让。</w:t>
      </w:r>
    </w:p>
    <w:p w14:paraId="4FEC865A">
      <w:pPr>
        <w:pStyle w:val="2"/>
        <w:spacing w:before="7" w:line="352" w:lineRule="auto"/>
        <w:ind w:left="22" w:firstLine="639"/>
        <w:jc w:val="both"/>
        <w:rPr>
          <w:rFonts w:ascii="仿宋" w:hAnsi="仿宋" w:eastAsia="仿宋" w:cs="仿宋"/>
          <w:sz w:val="31"/>
          <w:szCs w:val="31"/>
        </w:rPr>
      </w:pPr>
      <w:r>
        <w:rPr>
          <w:rFonts w:ascii="微软雅黑" w:hAnsi="微软雅黑" w:eastAsia="微软雅黑" w:cs="微软雅黑"/>
          <w:sz w:val="31"/>
          <w:szCs w:val="31"/>
        </w:rPr>
        <w:t>优化收益共享分配机制</w:t>
      </w:r>
      <w:r>
        <w:rPr>
          <w:rFonts w:ascii="微软雅黑" w:hAnsi="微软雅黑" w:eastAsia="微软雅黑" w:cs="微软雅黑"/>
          <w:spacing w:val="-31"/>
          <w:sz w:val="31"/>
          <w:szCs w:val="31"/>
        </w:rPr>
        <w:t xml:space="preserve"> </w:t>
      </w:r>
      <w:r>
        <w:rPr>
          <w:sz w:val="31"/>
          <w:szCs w:val="31"/>
        </w:rPr>
        <w:t>.</w:t>
      </w:r>
      <w:r>
        <w:rPr>
          <w:spacing w:val="32"/>
          <w:sz w:val="31"/>
          <w:szCs w:val="31"/>
        </w:rPr>
        <w:t xml:space="preserve">  </w:t>
      </w:r>
      <w:r>
        <w:rPr>
          <w:rFonts w:ascii="仿宋" w:hAnsi="仿宋" w:eastAsia="仿宋" w:cs="仿宋"/>
          <w:sz w:val="31"/>
          <w:szCs w:val="31"/>
        </w:rPr>
        <w:t>要进一步研究和完善锂辉石资</w:t>
      </w:r>
      <w:r>
        <w:rPr>
          <w:rFonts w:ascii="仿宋" w:hAnsi="仿宋" w:eastAsia="仿宋" w:cs="仿宋"/>
          <w:spacing w:val="-3"/>
          <w:sz w:val="31"/>
          <w:szCs w:val="31"/>
        </w:rPr>
        <w:t>源开发利用的利益共享机制，合理分配政府、企业、当地群众</w:t>
      </w:r>
      <w:r>
        <w:rPr>
          <w:rFonts w:ascii="仿宋" w:hAnsi="仿宋" w:eastAsia="仿宋" w:cs="仿宋"/>
          <w:spacing w:val="-5"/>
          <w:sz w:val="31"/>
          <w:szCs w:val="31"/>
        </w:rPr>
        <w:t>相关利益。</w:t>
      </w:r>
      <w:r>
        <w:rPr>
          <w:rFonts w:ascii="仿宋" w:hAnsi="仿宋" w:eastAsia="仿宋" w:cs="仿宋"/>
          <w:spacing w:val="-88"/>
          <w:sz w:val="31"/>
          <w:szCs w:val="31"/>
        </w:rPr>
        <w:t xml:space="preserve"> </w:t>
      </w:r>
      <w:r>
        <w:rPr>
          <w:rFonts w:ascii="仿宋" w:hAnsi="仿宋" w:eastAsia="仿宋" w:cs="仿宋"/>
          <w:spacing w:val="-5"/>
          <w:sz w:val="31"/>
          <w:szCs w:val="31"/>
        </w:rPr>
        <w:t>以利益为纽带推动与资源所在州、县（市）国有企</w:t>
      </w:r>
      <w:r>
        <w:rPr>
          <w:rFonts w:ascii="仿宋" w:hAnsi="仿宋" w:eastAsia="仿宋" w:cs="仿宋"/>
          <w:spacing w:val="-11"/>
          <w:sz w:val="31"/>
          <w:szCs w:val="31"/>
        </w:rPr>
        <w:t>业合作，形成合作共同体，鼓励锂产业企业与地</w:t>
      </w:r>
      <w:r>
        <w:rPr>
          <w:rFonts w:ascii="仿宋" w:hAnsi="仿宋" w:eastAsia="仿宋" w:cs="仿宋"/>
          <w:spacing w:val="-12"/>
          <w:sz w:val="31"/>
          <w:szCs w:val="31"/>
        </w:rPr>
        <w:t>方政府以合作、</w:t>
      </w:r>
      <w:r>
        <w:rPr>
          <w:rFonts w:ascii="仿宋" w:hAnsi="仿宋" w:eastAsia="仿宋" w:cs="仿宋"/>
          <w:spacing w:val="-3"/>
          <w:sz w:val="31"/>
          <w:szCs w:val="31"/>
        </w:rPr>
        <w:t>合资等多种方式，积极带动农牧业、旅游业、餐饮业和物流业</w:t>
      </w:r>
      <w:r>
        <w:rPr>
          <w:rFonts w:ascii="仿宋" w:hAnsi="仿宋" w:eastAsia="仿宋" w:cs="仿宋"/>
          <w:sz w:val="31"/>
          <w:szCs w:val="31"/>
        </w:rPr>
        <w:t>等非矿产业，拓展当地群众增收空间以巩固脱贫</w:t>
      </w:r>
      <w:r>
        <w:rPr>
          <w:rFonts w:ascii="仿宋" w:hAnsi="仿宋" w:eastAsia="仿宋" w:cs="仿宋"/>
          <w:spacing w:val="-1"/>
          <w:sz w:val="31"/>
          <w:szCs w:val="31"/>
        </w:rPr>
        <w:t>攻坚成果。</w:t>
      </w:r>
    </w:p>
    <w:p w14:paraId="58526F62">
      <w:pPr>
        <w:spacing w:before="4" w:line="354" w:lineRule="auto"/>
        <w:ind w:left="16" w:right="72" w:firstLine="643"/>
        <w:jc w:val="both"/>
        <w:rPr>
          <w:rFonts w:ascii="仿宋" w:hAnsi="仿宋" w:eastAsia="仿宋" w:cs="仿宋"/>
          <w:sz w:val="31"/>
          <w:szCs w:val="31"/>
        </w:rPr>
      </w:pPr>
      <w:r>
        <w:rPr>
          <w:rFonts w:ascii="微软雅黑" w:hAnsi="微软雅黑" w:eastAsia="微软雅黑" w:cs="微软雅黑"/>
          <w:spacing w:val="7"/>
          <w:sz w:val="31"/>
          <w:szCs w:val="31"/>
        </w:rPr>
        <w:t>推进档案资料信息化建设</w:t>
      </w:r>
      <w:r>
        <w:rPr>
          <w:rFonts w:ascii="微软雅黑" w:hAnsi="微软雅黑" w:eastAsia="微软雅黑" w:cs="微软雅黑"/>
          <w:spacing w:val="-45"/>
          <w:sz w:val="31"/>
          <w:szCs w:val="31"/>
        </w:rPr>
        <w:t xml:space="preserve"> </w:t>
      </w:r>
      <w:r>
        <w:rPr>
          <w:rFonts w:ascii="微软雅黑" w:hAnsi="微软雅黑" w:eastAsia="微软雅黑" w:cs="微软雅黑"/>
          <w:spacing w:val="7"/>
          <w:sz w:val="31"/>
          <w:szCs w:val="31"/>
        </w:rPr>
        <w:t>。</w:t>
      </w:r>
      <w:r>
        <w:rPr>
          <w:rFonts w:ascii="仿宋" w:hAnsi="仿宋" w:eastAsia="仿宋" w:cs="仿宋"/>
          <w:spacing w:val="7"/>
          <w:sz w:val="31"/>
          <w:szCs w:val="31"/>
        </w:rPr>
        <w:t>初步建立州级多数据资料归</w:t>
      </w:r>
      <w:r>
        <w:rPr>
          <w:rFonts w:ascii="仿宋" w:hAnsi="仿宋" w:eastAsia="仿宋" w:cs="仿宋"/>
          <w:spacing w:val="6"/>
          <w:sz w:val="31"/>
          <w:szCs w:val="31"/>
        </w:rPr>
        <w:t>集制度。</w:t>
      </w:r>
      <w:r>
        <w:rPr>
          <w:rFonts w:ascii="仿宋" w:hAnsi="仿宋" w:eastAsia="仿宋" w:cs="仿宋"/>
          <w:spacing w:val="-73"/>
          <w:sz w:val="31"/>
          <w:szCs w:val="31"/>
        </w:rPr>
        <w:t xml:space="preserve"> </w:t>
      </w:r>
      <w:r>
        <w:rPr>
          <w:rFonts w:ascii="仿宋" w:hAnsi="仿宋" w:eastAsia="仿宋" w:cs="仿宋"/>
          <w:spacing w:val="6"/>
          <w:sz w:val="31"/>
          <w:szCs w:val="31"/>
        </w:rPr>
        <w:t>汇聚整合州级管理的地质勘查、矿产开发利用、矿</w:t>
      </w:r>
      <w:r>
        <w:rPr>
          <w:rFonts w:ascii="仿宋" w:hAnsi="仿宋" w:eastAsia="仿宋" w:cs="仿宋"/>
          <w:spacing w:val="9"/>
          <w:sz w:val="31"/>
          <w:szCs w:val="31"/>
        </w:rPr>
        <w:t>山地质环境与矿山地质灾害防治等各类数据，全面建立内容</w:t>
      </w:r>
      <w:r>
        <w:rPr>
          <w:rFonts w:ascii="仿宋" w:hAnsi="仿宋" w:eastAsia="仿宋" w:cs="仿宋"/>
          <w:spacing w:val="2"/>
          <w:sz w:val="31"/>
          <w:szCs w:val="31"/>
        </w:rPr>
        <w:t>全面、标准统一的</w:t>
      </w:r>
      <w:r>
        <w:rPr>
          <w:rFonts w:ascii="仿宋" w:hAnsi="仿宋" w:eastAsia="仿宋" w:cs="仿宋"/>
          <w:spacing w:val="-88"/>
          <w:sz w:val="31"/>
          <w:szCs w:val="31"/>
        </w:rPr>
        <w:t xml:space="preserve"> </w:t>
      </w:r>
      <w:r>
        <w:rPr>
          <w:rFonts w:ascii="仿宋" w:hAnsi="仿宋" w:eastAsia="仿宋" w:cs="仿宋"/>
          <w:spacing w:val="2"/>
          <w:sz w:val="31"/>
          <w:szCs w:val="31"/>
        </w:rPr>
        <w:t>“</w:t>
      </w:r>
      <w:r>
        <w:rPr>
          <w:rFonts w:ascii="仿宋" w:hAnsi="仿宋" w:eastAsia="仿宋" w:cs="仿宋"/>
          <w:spacing w:val="-118"/>
          <w:sz w:val="31"/>
          <w:szCs w:val="31"/>
        </w:rPr>
        <w:t xml:space="preserve"> </w:t>
      </w:r>
      <w:r>
        <w:rPr>
          <w:rFonts w:ascii="仿宋" w:hAnsi="仿宋" w:eastAsia="仿宋" w:cs="仿宋"/>
          <w:spacing w:val="2"/>
          <w:sz w:val="31"/>
          <w:szCs w:val="31"/>
        </w:rPr>
        <w:t>一矿一档”信息体系。</w:t>
      </w:r>
      <w:r>
        <w:rPr>
          <w:rFonts w:ascii="仿宋" w:hAnsi="仿宋" w:eastAsia="仿宋" w:cs="仿宋"/>
          <w:spacing w:val="-73"/>
          <w:sz w:val="31"/>
          <w:szCs w:val="31"/>
        </w:rPr>
        <w:t xml:space="preserve"> </w:t>
      </w:r>
      <w:r>
        <w:rPr>
          <w:rFonts w:ascii="仿宋" w:hAnsi="仿宋" w:eastAsia="仿宋" w:cs="仿宋"/>
          <w:spacing w:val="2"/>
          <w:sz w:val="31"/>
          <w:szCs w:val="31"/>
        </w:rPr>
        <w:t>以信息化促进规</w:t>
      </w:r>
      <w:r>
        <w:rPr>
          <w:rFonts w:ascii="仿宋" w:hAnsi="仿宋" w:eastAsia="仿宋" w:cs="仿宋"/>
          <w:spacing w:val="9"/>
          <w:sz w:val="31"/>
          <w:szCs w:val="31"/>
        </w:rPr>
        <w:t>划管理的科学化、规范化。充分利用政务网、局域网，实现</w:t>
      </w:r>
      <w:r>
        <w:rPr>
          <w:rFonts w:ascii="仿宋" w:hAnsi="仿宋" w:eastAsia="仿宋" w:cs="仿宋"/>
          <w:spacing w:val="8"/>
          <w:sz w:val="31"/>
          <w:szCs w:val="31"/>
        </w:rPr>
        <w:t>信息共享和矿产资源规划动态管理。</w:t>
      </w:r>
    </w:p>
    <w:p w14:paraId="4C9F7804">
      <w:pPr>
        <w:spacing w:line="354" w:lineRule="auto"/>
        <w:rPr>
          <w:rFonts w:ascii="仿宋" w:hAnsi="仿宋" w:eastAsia="仿宋" w:cs="仿宋"/>
          <w:sz w:val="31"/>
          <w:szCs w:val="31"/>
        </w:rPr>
        <w:sectPr>
          <w:footerReference r:id="rId41" w:type="default"/>
          <w:pgSz w:w="11904" w:h="16835"/>
          <w:pgMar w:top="1430" w:right="1729" w:bottom="1289" w:left="1785" w:header="0" w:footer="923" w:gutter="0"/>
          <w:cols w:space="720" w:num="1"/>
        </w:sectPr>
      </w:pPr>
    </w:p>
    <w:p w14:paraId="0681A56B">
      <w:pPr>
        <w:pStyle w:val="2"/>
        <w:spacing w:line="291" w:lineRule="auto"/>
      </w:pPr>
    </w:p>
    <w:p w14:paraId="4C736153">
      <w:pPr>
        <w:spacing w:before="101" w:line="225" w:lineRule="auto"/>
        <w:ind w:left="899"/>
        <w:outlineLvl w:val="0"/>
        <w:rPr>
          <w:rFonts w:ascii="黑体" w:hAnsi="黑体" w:eastAsia="黑体" w:cs="黑体"/>
          <w:sz w:val="31"/>
          <w:szCs w:val="31"/>
        </w:rPr>
      </w:pPr>
      <w:bookmarkStart w:id="39" w:name="bookmark25"/>
      <w:bookmarkEnd w:id="39"/>
      <w:bookmarkStart w:id="40" w:name="bookmark24"/>
      <w:bookmarkEnd w:id="40"/>
      <w:r>
        <w:rPr>
          <w:rFonts w:ascii="黑体" w:hAnsi="黑体" w:eastAsia="黑体" w:cs="黑体"/>
          <w:spacing w:val="8"/>
          <w:sz w:val="31"/>
          <w:szCs w:val="31"/>
        </w:rPr>
        <w:t>第五章 加快推进绿色矿业发展  促进矿业转型升级</w:t>
      </w:r>
    </w:p>
    <w:p w14:paraId="7C876CD4">
      <w:pPr>
        <w:pStyle w:val="2"/>
        <w:spacing w:line="381" w:lineRule="auto"/>
      </w:pPr>
    </w:p>
    <w:p w14:paraId="36F481B5">
      <w:pPr>
        <w:spacing w:before="137" w:line="322" w:lineRule="exact"/>
        <w:ind w:left="2686"/>
        <w:outlineLvl w:val="0"/>
        <w:rPr>
          <w:rFonts w:ascii="微软雅黑" w:hAnsi="微软雅黑" w:eastAsia="微软雅黑" w:cs="微软雅黑"/>
          <w:sz w:val="32"/>
          <w:szCs w:val="32"/>
        </w:rPr>
      </w:pPr>
      <w:bookmarkStart w:id="41" w:name="bookmark44"/>
      <w:bookmarkEnd w:id="41"/>
      <w:r>
        <w:rPr>
          <w:rFonts w:ascii="微软雅黑" w:hAnsi="微软雅黑" w:eastAsia="微软雅黑" w:cs="微软雅黑"/>
          <w:spacing w:val="-6"/>
          <w:w w:val="98"/>
          <w:position w:val="-2"/>
          <w:sz w:val="32"/>
          <w:szCs w:val="32"/>
        </w:rPr>
        <w:t>第</w:t>
      </w:r>
      <w:r>
        <w:rPr>
          <w:rFonts w:ascii="微软雅黑" w:hAnsi="微软雅黑" w:eastAsia="微软雅黑" w:cs="微软雅黑"/>
          <w:spacing w:val="-36"/>
          <w:position w:val="-2"/>
          <w:sz w:val="32"/>
          <w:szCs w:val="32"/>
        </w:rPr>
        <w:t xml:space="preserve"> </w:t>
      </w:r>
      <w:r>
        <w:rPr>
          <w:rFonts w:ascii="微软雅黑" w:hAnsi="微软雅黑" w:eastAsia="微软雅黑" w:cs="微软雅黑"/>
          <w:spacing w:val="-6"/>
          <w:w w:val="98"/>
          <w:position w:val="-2"/>
          <w:sz w:val="32"/>
          <w:szCs w:val="32"/>
        </w:rPr>
        <w:t>一节</w:t>
      </w:r>
      <w:r>
        <w:rPr>
          <w:rFonts w:ascii="微软雅黑" w:hAnsi="微软雅黑" w:eastAsia="微软雅黑" w:cs="微软雅黑"/>
          <w:spacing w:val="83"/>
          <w:position w:val="-2"/>
          <w:sz w:val="32"/>
          <w:szCs w:val="32"/>
        </w:rPr>
        <w:t xml:space="preserve"> </w:t>
      </w:r>
      <w:r>
        <w:rPr>
          <w:rFonts w:ascii="微软雅黑" w:hAnsi="微软雅黑" w:eastAsia="微软雅黑" w:cs="微软雅黑"/>
          <w:spacing w:val="-6"/>
          <w:w w:val="98"/>
          <w:position w:val="-2"/>
          <w:sz w:val="32"/>
          <w:szCs w:val="32"/>
        </w:rPr>
        <w:t>严格绿色勘查要求</w:t>
      </w:r>
    </w:p>
    <w:p w14:paraId="3F18FC6D">
      <w:pPr>
        <w:pStyle w:val="2"/>
        <w:spacing w:line="260" w:lineRule="auto"/>
      </w:pPr>
    </w:p>
    <w:p w14:paraId="08BDA1A8">
      <w:pPr>
        <w:pStyle w:val="2"/>
        <w:spacing w:line="260" w:lineRule="auto"/>
      </w:pPr>
    </w:p>
    <w:p w14:paraId="7999CF53">
      <w:pPr>
        <w:spacing w:before="100" w:line="346" w:lineRule="auto"/>
        <w:ind w:left="22" w:right="42" w:firstLine="645"/>
        <w:jc w:val="both"/>
        <w:rPr>
          <w:rFonts w:ascii="仿宋" w:hAnsi="仿宋" w:eastAsia="仿宋" w:cs="仿宋"/>
          <w:sz w:val="31"/>
          <w:szCs w:val="31"/>
        </w:rPr>
      </w:pPr>
      <w:r>
        <w:rPr>
          <w:rFonts w:ascii="仿宋" w:hAnsi="仿宋" w:eastAsia="仿宋" w:cs="仿宋"/>
          <w:spacing w:val="8"/>
          <w:sz w:val="31"/>
          <w:szCs w:val="31"/>
        </w:rPr>
        <w:t>勘查项目工作必须满足《绿色勘查指南》、《绿色地质</w:t>
      </w:r>
      <w:r>
        <w:rPr>
          <w:rFonts w:ascii="仿宋" w:hAnsi="仿宋" w:eastAsia="仿宋" w:cs="仿宋"/>
          <w:spacing w:val="11"/>
          <w:sz w:val="31"/>
          <w:szCs w:val="31"/>
        </w:rPr>
        <w:t>勘查工作规范》（</w:t>
      </w:r>
      <w:r>
        <w:rPr>
          <w:rFonts w:ascii="仿宋" w:hAnsi="仿宋" w:eastAsia="仿宋" w:cs="仿宋"/>
          <w:spacing w:val="-89"/>
          <w:sz w:val="31"/>
          <w:szCs w:val="31"/>
        </w:rPr>
        <w:t xml:space="preserve"> </w:t>
      </w:r>
      <w:r>
        <w:rPr>
          <w:rFonts w:ascii="仿宋" w:hAnsi="仿宋" w:eastAsia="仿宋" w:cs="仿宋"/>
          <w:sz w:val="31"/>
          <w:szCs w:val="31"/>
        </w:rPr>
        <w:t>DZ</w:t>
      </w:r>
      <w:r>
        <w:rPr>
          <w:rFonts w:ascii="仿宋" w:hAnsi="仿宋" w:eastAsia="仿宋" w:cs="仿宋"/>
          <w:spacing w:val="11"/>
          <w:sz w:val="31"/>
          <w:szCs w:val="31"/>
        </w:rPr>
        <w:t>/T0374-2021）等</w:t>
      </w:r>
      <w:r>
        <w:rPr>
          <w:rFonts w:ascii="仿宋" w:hAnsi="仿宋" w:eastAsia="仿宋" w:cs="仿宋"/>
          <w:spacing w:val="10"/>
          <w:sz w:val="31"/>
          <w:szCs w:val="31"/>
        </w:rPr>
        <w:t>文件要求，约束勘查</w:t>
      </w:r>
      <w:r>
        <w:rPr>
          <w:rFonts w:ascii="仿宋" w:hAnsi="仿宋" w:eastAsia="仿宋" w:cs="仿宋"/>
          <w:spacing w:val="9"/>
          <w:sz w:val="31"/>
          <w:szCs w:val="31"/>
        </w:rPr>
        <w:t>行为。鼓励勘查单位和探矿权人使用遥感、物探等新技</w:t>
      </w:r>
      <w:r>
        <w:rPr>
          <w:rFonts w:ascii="仿宋" w:hAnsi="仿宋" w:eastAsia="仿宋" w:cs="仿宋"/>
          <w:spacing w:val="8"/>
          <w:sz w:val="31"/>
          <w:szCs w:val="31"/>
        </w:rPr>
        <w:t>术，</w:t>
      </w:r>
      <w:r>
        <w:rPr>
          <w:rFonts w:ascii="仿宋" w:hAnsi="仿宋" w:eastAsia="仿宋" w:cs="仿宋"/>
          <w:spacing w:val="9"/>
          <w:sz w:val="31"/>
          <w:szCs w:val="31"/>
        </w:rPr>
        <w:t>新方法进行勘查工作，积极申报绿色勘查示范项目，在</w:t>
      </w:r>
      <w:r>
        <w:rPr>
          <w:rFonts w:ascii="仿宋" w:hAnsi="仿宋" w:eastAsia="仿宋" w:cs="仿宋"/>
          <w:spacing w:val="8"/>
          <w:sz w:val="31"/>
          <w:szCs w:val="31"/>
        </w:rPr>
        <w:t>土地</w:t>
      </w:r>
      <w:r>
        <w:rPr>
          <w:rFonts w:ascii="仿宋" w:hAnsi="仿宋" w:eastAsia="仿宋" w:cs="仿宋"/>
          <w:spacing w:val="16"/>
          <w:sz w:val="31"/>
          <w:szCs w:val="31"/>
        </w:rPr>
        <w:t>使用和税费优惠等政策上向示范项目倾斜。</w:t>
      </w:r>
      <w:r>
        <w:rPr>
          <w:rFonts w:ascii="仿宋" w:hAnsi="仿宋" w:eastAsia="仿宋" w:cs="仿宋"/>
          <w:spacing w:val="-84"/>
          <w:sz w:val="31"/>
          <w:szCs w:val="31"/>
        </w:rPr>
        <w:t xml:space="preserve"> </w:t>
      </w:r>
      <w:r>
        <w:rPr>
          <w:rFonts w:ascii="仿宋" w:hAnsi="仿宋" w:eastAsia="仿宋" w:cs="仿宋"/>
          <w:spacing w:val="16"/>
          <w:sz w:val="31"/>
          <w:szCs w:val="31"/>
        </w:rPr>
        <w:t>州</w:t>
      </w:r>
      <w:r>
        <w:rPr>
          <w:rFonts w:ascii="仿宋" w:hAnsi="仿宋" w:eastAsia="仿宋" w:cs="仿宋"/>
          <w:spacing w:val="-84"/>
          <w:sz w:val="31"/>
          <w:szCs w:val="31"/>
        </w:rPr>
        <w:t xml:space="preserve"> </w:t>
      </w:r>
      <w:r>
        <w:rPr>
          <w:rFonts w:ascii="仿宋" w:hAnsi="仿宋" w:eastAsia="仿宋" w:cs="仿宋"/>
          <w:spacing w:val="16"/>
          <w:sz w:val="31"/>
          <w:szCs w:val="31"/>
        </w:rPr>
        <w:t>内生态敏感</w:t>
      </w:r>
      <w:r>
        <w:rPr>
          <w:rFonts w:ascii="仿宋" w:hAnsi="仿宋" w:eastAsia="仿宋" w:cs="仿宋"/>
          <w:spacing w:val="6"/>
          <w:sz w:val="31"/>
          <w:szCs w:val="31"/>
        </w:rPr>
        <w:t>区、岷江、大渡河、黑河、</w:t>
      </w:r>
      <w:r>
        <w:rPr>
          <w:rFonts w:ascii="仿宋" w:hAnsi="仿宋" w:eastAsia="仿宋" w:cs="仿宋"/>
          <w:spacing w:val="-79"/>
          <w:sz w:val="31"/>
          <w:szCs w:val="31"/>
        </w:rPr>
        <w:t xml:space="preserve"> </w:t>
      </w:r>
      <w:r>
        <w:rPr>
          <w:rFonts w:ascii="仿宋" w:hAnsi="仿宋" w:eastAsia="仿宋" w:cs="仿宋"/>
          <w:spacing w:val="6"/>
          <w:sz w:val="31"/>
          <w:szCs w:val="31"/>
        </w:rPr>
        <w:t>白河流域范围勘查工作必须达到</w:t>
      </w:r>
      <w:r>
        <w:rPr>
          <w:rFonts w:ascii="仿宋" w:hAnsi="仿宋" w:eastAsia="仿宋" w:cs="仿宋"/>
          <w:spacing w:val="12"/>
          <w:sz w:val="31"/>
          <w:szCs w:val="31"/>
        </w:rPr>
        <w:t>绿色地质勘查标准，力争</w:t>
      </w:r>
      <w:r>
        <w:rPr>
          <w:rFonts w:ascii="仿宋" w:hAnsi="仿宋" w:eastAsia="仿宋" w:cs="仿宋"/>
          <w:spacing w:val="-35"/>
          <w:sz w:val="31"/>
          <w:szCs w:val="31"/>
        </w:rPr>
        <w:t xml:space="preserve"> </w:t>
      </w:r>
      <w:r>
        <w:rPr>
          <w:rFonts w:ascii="仿宋" w:hAnsi="仿宋" w:eastAsia="仿宋" w:cs="仿宋"/>
          <w:spacing w:val="12"/>
          <w:sz w:val="31"/>
          <w:szCs w:val="31"/>
        </w:rPr>
        <w:t>2035</w:t>
      </w:r>
      <w:r>
        <w:rPr>
          <w:rFonts w:ascii="仿宋" w:hAnsi="仿宋" w:eastAsia="仿宋" w:cs="仿宋"/>
          <w:spacing w:val="-57"/>
          <w:sz w:val="31"/>
          <w:szCs w:val="31"/>
        </w:rPr>
        <w:t xml:space="preserve"> </w:t>
      </w:r>
      <w:r>
        <w:rPr>
          <w:rFonts w:ascii="仿宋" w:hAnsi="仿宋" w:eastAsia="仿宋" w:cs="仿宋"/>
          <w:spacing w:val="12"/>
          <w:sz w:val="31"/>
          <w:szCs w:val="31"/>
        </w:rPr>
        <w:t>年，所有地质勘查工作全部</w:t>
      </w:r>
      <w:r>
        <w:rPr>
          <w:rFonts w:ascii="仿宋" w:hAnsi="仿宋" w:eastAsia="仿宋" w:cs="仿宋"/>
          <w:spacing w:val="7"/>
          <w:sz w:val="31"/>
          <w:szCs w:val="31"/>
        </w:rPr>
        <w:t>达到绿色地质勘查标准。</w:t>
      </w:r>
    </w:p>
    <w:p w14:paraId="6EBF7F26">
      <w:pPr>
        <w:spacing w:before="86" w:line="326" w:lineRule="auto"/>
        <w:ind w:left="23" w:right="42" w:firstLine="643"/>
        <w:jc w:val="both"/>
        <w:rPr>
          <w:rFonts w:ascii="仿宋" w:hAnsi="仿宋" w:eastAsia="仿宋" w:cs="仿宋"/>
          <w:sz w:val="31"/>
          <w:szCs w:val="31"/>
        </w:rPr>
      </w:pPr>
      <w:r>
        <w:rPr>
          <w:rFonts w:ascii="微软雅黑" w:hAnsi="微软雅黑" w:eastAsia="微软雅黑" w:cs="微软雅黑"/>
          <w:spacing w:val="8"/>
          <w:position w:val="1"/>
          <w:sz w:val="31"/>
          <w:szCs w:val="31"/>
        </w:rPr>
        <w:t>坚持绿色勘查理念。</w:t>
      </w:r>
      <w:r>
        <w:rPr>
          <w:rFonts w:ascii="仿宋" w:hAnsi="仿宋" w:eastAsia="仿宋" w:cs="仿宋"/>
          <w:spacing w:val="8"/>
          <w:sz w:val="31"/>
          <w:szCs w:val="31"/>
        </w:rPr>
        <w:t>加强对在我州境内从事地勘活动的</w:t>
      </w:r>
      <w:r>
        <w:rPr>
          <w:rFonts w:ascii="仿宋" w:hAnsi="仿宋" w:eastAsia="仿宋" w:cs="仿宋"/>
          <w:spacing w:val="9"/>
          <w:sz w:val="31"/>
          <w:szCs w:val="31"/>
        </w:rPr>
        <w:t>地勘从业人员进行绿色勘查的宣传和教育，促进地勘</w:t>
      </w:r>
      <w:r>
        <w:rPr>
          <w:rFonts w:ascii="仿宋" w:hAnsi="仿宋" w:eastAsia="仿宋" w:cs="仿宋"/>
          <w:spacing w:val="8"/>
          <w:sz w:val="31"/>
          <w:szCs w:val="31"/>
        </w:rPr>
        <w:t>行业在</w:t>
      </w:r>
      <w:r>
        <w:rPr>
          <w:rFonts w:ascii="仿宋" w:hAnsi="仿宋" w:eastAsia="仿宋" w:cs="仿宋"/>
          <w:spacing w:val="6"/>
          <w:sz w:val="31"/>
          <w:szCs w:val="31"/>
        </w:rPr>
        <w:t>生态文明建设中走在前列。坚持</w:t>
      </w:r>
      <w:r>
        <w:rPr>
          <w:rFonts w:ascii="仿宋" w:hAnsi="仿宋" w:eastAsia="仿宋" w:cs="仿宋"/>
          <w:spacing w:val="-111"/>
          <w:sz w:val="31"/>
          <w:szCs w:val="31"/>
        </w:rPr>
        <w:t xml:space="preserve"> </w:t>
      </w:r>
      <w:r>
        <w:rPr>
          <w:rFonts w:ascii="仿宋" w:hAnsi="仿宋" w:eastAsia="仿宋" w:cs="仿宋"/>
          <w:spacing w:val="6"/>
          <w:sz w:val="31"/>
          <w:szCs w:val="31"/>
        </w:rPr>
        <w:t>“</w:t>
      </w:r>
      <w:r>
        <w:rPr>
          <w:rFonts w:ascii="仿宋" w:hAnsi="仿宋" w:eastAsia="仿宋" w:cs="仿宋"/>
          <w:spacing w:val="-118"/>
          <w:sz w:val="31"/>
          <w:szCs w:val="31"/>
        </w:rPr>
        <w:t xml:space="preserve"> </w:t>
      </w:r>
      <w:r>
        <w:rPr>
          <w:rFonts w:ascii="仿宋" w:hAnsi="仿宋" w:eastAsia="仿宋" w:cs="仿宋"/>
          <w:spacing w:val="6"/>
          <w:sz w:val="31"/>
          <w:szCs w:val="31"/>
        </w:rPr>
        <w:t>生态保护第</w:t>
      </w:r>
      <w:r>
        <w:rPr>
          <w:rFonts w:ascii="仿宋" w:hAnsi="仿宋" w:eastAsia="仿宋" w:cs="仿宋"/>
          <w:spacing w:val="5"/>
          <w:sz w:val="31"/>
          <w:szCs w:val="31"/>
        </w:rPr>
        <w:t>一，尊重群众意愿”</w:t>
      </w:r>
      <w:r>
        <w:rPr>
          <w:rFonts w:ascii="仿宋" w:hAnsi="仿宋" w:eastAsia="仿宋" w:cs="仿宋"/>
          <w:spacing w:val="-110"/>
          <w:sz w:val="31"/>
          <w:szCs w:val="31"/>
        </w:rPr>
        <w:t xml:space="preserve"> </w:t>
      </w:r>
      <w:r>
        <w:rPr>
          <w:rFonts w:ascii="仿宋" w:hAnsi="仿宋" w:eastAsia="仿宋" w:cs="仿宋"/>
          <w:spacing w:val="5"/>
          <w:sz w:val="31"/>
          <w:szCs w:val="31"/>
        </w:rPr>
        <w:t>、</w:t>
      </w:r>
      <w:r>
        <w:rPr>
          <w:rFonts w:ascii="仿宋" w:hAnsi="仿宋" w:eastAsia="仿宋" w:cs="仿宋"/>
          <w:spacing w:val="-99"/>
          <w:sz w:val="31"/>
          <w:szCs w:val="31"/>
        </w:rPr>
        <w:t xml:space="preserve"> </w:t>
      </w:r>
      <w:r>
        <w:rPr>
          <w:rFonts w:ascii="仿宋" w:hAnsi="仿宋" w:eastAsia="仿宋" w:cs="仿宋"/>
          <w:spacing w:val="5"/>
          <w:sz w:val="31"/>
          <w:szCs w:val="31"/>
        </w:rPr>
        <w:t>“共抓大保护，实现绿色可持续发展”等原则，所</w:t>
      </w:r>
      <w:r>
        <w:rPr>
          <w:rFonts w:ascii="仿宋" w:hAnsi="仿宋" w:eastAsia="仿宋" w:cs="仿宋"/>
          <w:spacing w:val="8"/>
          <w:sz w:val="31"/>
          <w:szCs w:val="31"/>
        </w:rPr>
        <w:t>有新开勘查项目均要达到绿色勘查要求。</w:t>
      </w:r>
    </w:p>
    <w:p w14:paraId="35CB8B87">
      <w:pPr>
        <w:pStyle w:val="2"/>
        <w:spacing w:before="77" w:line="332" w:lineRule="auto"/>
        <w:ind w:left="26" w:firstLine="633"/>
        <w:jc w:val="both"/>
        <w:rPr>
          <w:rFonts w:ascii="仿宋" w:hAnsi="仿宋" w:eastAsia="仿宋" w:cs="仿宋"/>
          <w:sz w:val="31"/>
          <w:szCs w:val="31"/>
        </w:rPr>
      </w:pPr>
      <w:r>
        <w:rPr>
          <w:rFonts w:ascii="微软雅黑" w:hAnsi="微软雅黑" w:eastAsia="微软雅黑" w:cs="微软雅黑"/>
          <w:spacing w:val="6"/>
          <w:sz w:val="31"/>
          <w:szCs w:val="31"/>
        </w:rPr>
        <w:t>推行绿色勘查新技术新方法</w:t>
      </w:r>
      <w:r>
        <w:rPr>
          <w:rFonts w:ascii="微软雅黑" w:hAnsi="微软雅黑" w:eastAsia="微软雅黑" w:cs="微软雅黑"/>
          <w:spacing w:val="-28"/>
          <w:sz w:val="31"/>
          <w:szCs w:val="31"/>
        </w:rPr>
        <w:t xml:space="preserve"> </w:t>
      </w:r>
      <w:r>
        <w:rPr>
          <w:spacing w:val="6"/>
          <w:sz w:val="31"/>
          <w:szCs w:val="31"/>
        </w:rPr>
        <w:t>.</w:t>
      </w:r>
      <w:r>
        <w:rPr>
          <w:spacing w:val="29"/>
          <w:sz w:val="31"/>
          <w:szCs w:val="31"/>
        </w:rPr>
        <w:t xml:space="preserve">  </w:t>
      </w:r>
      <w:r>
        <w:rPr>
          <w:rFonts w:ascii="仿宋" w:hAnsi="仿宋" w:eastAsia="仿宋" w:cs="仿宋"/>
          <w:spacing w:val="6"/>
          <w:sz w:val="31"/>
          <w:szCs w:val="31"/>
        </w:rPr>
        <w:t>加强绿色勘查科技创新能</w:t>
      </w:r>
      <w:r>
        <w:rPr>
          <w:rFonts w:ascii="仿宋" w:hAnsi="仿宋" w:eastAsia="仿宋" w:cs="仿宋"/>
          <w:spacing w:val="9"/>
          <w:sz w:val="31"/>
          <w:szCs w:val="31"/>
        </w:rPr>
        <w:t>力建设，加大绿色勘查新理论、新方法、新技</w:t>
      </w:r>
      <w:r>
        <w:rPr>
          <w:rFonts w:ascii="仿宋" w:hAnsi="仿宋" w:eastAsia="仿宋" w:cs="仿宋"/>
          <w:spacing w:val="8"/>
          <w:sz w:val="31"/>
          <w:szCs w:val="31"/>
        </w:rPr>
        <w:t>术、新设备和</w:t>
      </w:r>
      <w:r>
        <w:rPr>
          <w:rFonts w:ascii="仿宋" w:hAnsi="仿宋" w:eastAsia="仿宋" w:cs="仿宋"/>
          <w:spacing w:val="9"/>
          <w:sz w:val="31"/>
          <w:szCs w:val="31"/>
        </w:rPr>
        <w:t>新工艺的研究与应用推广，健全绿色勘查技术</w:t>
      </w:r>
      <w:r>
        <w:rPr>
          <w:rFonts w:ascii="仿宋" w:hAnsi="仿宋" w:eastAsia="仿宋" w:cs="仿宋"/>
          <w:spacing w:val="8"/>
          <w:sz w:val="31"/>
          <w:szCs w:val="31"/>
        </w:rPr>
        <w:t>体系。大力发</w:t>
      </w:r>
      <w:r>
        <w:rPr>
          <w:rFonts w:ascii="仿宋" w:hAnsi="仿宋" w:eastAsia="仿宋" w:cs="仿宋"/>
          <w:spacing w:val="9"/>
          <w:sz w:val="31"/>
          <w:szCs w:val="31"/>
        </w:rPr>
        <w:t>展和推广物探、化探、遥感等新技术、新方法</w:t>
      </w:r>
      <w:r>
        <w:rPr>
          <w:rFonts w:ascii="仿宋" w:hAnsi="仿宋" w:eastAsia="仿宋" w:cs="仿宋"/>
          <w:spacing w:val="8"/>
          <w:sz w:val="31"/>
          <w:szCs w:val="31"/>
        </w:rPr>
        <w:t>，适度调整或</w:t>
      </w:r>
      <w:r>
        <w:rPr>
          <w:rFonts w:ascii="仿宋" w:hAnsi="仿宋" w:eastAsia="仿宋" w:cs="仿宋"/>
          <w:spacing w:val="9"/>
          <w:sz w:val="31"/>
          <w:szCs w:val="31"/>
        </w:rPr>
        <w:t>替代对地表环境影响大的槽探等勘查手段，最</w:t>
      </w:r>
      <w:r>
        <w:rPr>
          <w:rFonts w:ascii="仿宋" w:hAnsi="仿宋" w:eastAsia="仿宋" w:cs="仿宋"/>
          <w:spacing w:val="8"/>
          <w:sz w:val="31"/>
          <w:szCs w:val="31"/>
        </w:rPr>
        <w:t>大限度地避免</w:t>
      </w:r>
      <w:r>
        <w:rPr>
          <w:rFonts w:ascii="仿宋" w:hAnsi="仿宋" w:eastAsia="仿宋" w:cs="仿宋"/>
          <w:spacing w:val="9"/>
          <w:sz w:val="31"/>
          <w:szCs w:val="31"/>
        </w:rPr>
        <w:t>或减轻勘查活动对生态环境的影响。尊重地区</w:t>
      </w:r>
      <w:r>
        <w:rPr>
          <w:rFonts w:ascii="仿宋" w:hAnsi="仿宋" w:eastAsia="仿宋" w:cs="仿宋"/>
          <w:spacing w:val="8"/>
          <w:sz w:val="31"/>
          <w:szCs w:val="31"/>
        </w:rPr>
        <w:t>民俗，构建和</w:t>
      </w:r>
      <w:r>
        <w:rPr>
          <w:rFonts w:ascii="仿宋" w:hAnsi="仿宋" w:eastAsia="仿宋" w:cs="仿宋"/>
          <w:spacing w:val="-2"/>
          <w:sz w:val="31"/>
          <w:szCs w:val="31"/>
        </w:rPr>
        <w:t>谐勘查氛围，统筹兼顾勘查效益、生态环境效益和社会效益。</w:t>
      </w:r>
    </w:p>
    <w:p w14:paraId="27929C64">
      <w:pPr>
        <w:spacing w:line="332" w:lineRule="auto"/>
        <w:rPr>
          <w:rFonts w:ascii="仿宋" w:hAnsi="仿宋" w:eastAsia="仿宋" w:cs="仿宋"/>
          <w:sz w:val="31"/>
          <w:szCs w:val="31"/>
        </w:rPr>
        <w:sectPr>
          <w:footerReference r:id="rId42" w:type="default"/>
          <w:pgSz w:w="11904" w:h="16835"/>
          <w:pgMar w:top="1430" w:right="1759" w:bottom="1289" w:left="1785" w:header="0" w:footer="923" w:gutter="0"/>
          <w:cols w:space="720" w:num="1"/>
        </w:sectPr>
      </w:pPr>
    </w:p>
    <w:p w14:paraId="473072FF">
      <w:pPr>
        <w:spacing w:before="123" w:line="325" w:lineRule="exact"/>
        <w:ind w:left="2369"/>
        <w:outlineLvl w:val="0"/>
        <w:rPr>
          <w:rFonts w:ascii="微软雅黑" w:hAnsi="微软雅黑" w:eastAsia="微软雅黑" w:cs="微软雅黑"/>
          <w:sz w:val="30"/>
          <w:szCs w:val="30"/>
        </w:rPr>
      </w:pPr>
      <w:bookmarkStart w:id="42" w:name="bookmark26"/>
      <w:bookmarkEnd w:id="42"/>
      <w:r>
        <w:rPr>
          <w:rFonts w:ascii="微软雅黑" w:hAnsi="微软雅黑" w:eastAsia="微软雅黑" w:cs="微软雅黑"/>
          <w:spacing w:val="13"/>
          <w:position w:val="-1"/>
          <w:sz w:val="30"/>
          <w:szCs w:val="30"/>
        </w:rPr>
        <w:t>第二节</w:t>
      </w:r>
      <w:r>
        <w:rPr>
          <w:rFonts w:ascii="微软雅黑" w:hAnsi="微软雅黑" w:eastAsia="微软雅黑" w:cs="微软雅黑"/>
          <w:spacing w:val="99"/>
          <w:position w:val="-1"/>
          <w:sz w:val="30"/>
          <w:szCs w:val="30"/>
        </w:rPr>
        <w:t xml:space="preserve"> </w:t>
      </w:r>
      <w:r>
        <w:rPr>
          <w:rFonts w:ascii="微软雅黑" w:hAnsi="微软雅黑" w:eastAsia="微软雅黑" w:cs="微软雅黑"/>
          <w:spacing w:val="13"/>
          <w:position w:val="-1"/>
          <w:sz w:val="30"/>
          <w:szCs w:val="30"/>
        </w:rPr>
        <w:t>加快推进绿色矿山建设</w:t>
      </w:r>
    </w:p>
    <w:p w14:paraId="38205403">
      <w:pPr>
        <w:pStyle w:val="2"/>
        <w:spacing w:line="242" w:lineRule="auto"/>
      </w:pPr>
    </w:p>
    <w:p w14:paraId="52F484A6">
      <w:pPr>
        <w:pStyle w:val="2"/>
        <w:spacing w:line="243" w:lineRule="auto"/>
      </w:pPr>
    </w:p>
    <w:p w14:paraId="74CA00A9">
      <w:pPr>
        <w:spacing w:before="133" w:line="326" w:lineRule="auto"/>
        <w:ind w:left="23" w:firstLine="635"/>
        <w:jc w:val="both"/>
        <w:rPr>
          <w:rFonts w:ascii="仿宋" w:hAnsi="仿宋" w:eastAsia="仿宋" w:cs="仿宋"/>
          <w:sz w:val="31"/>
          <w:szCs w:val="31"/>
        </w:rPr>
      </w:pPr>
      <w:r>
        <w:rPr>
          <w:rFonts w:ascii="微软雅黑" w:hAnsi="微软雅黑" w:eastAsia="微软雅黑" w:cs="微软雅黑"/>
          <w:spacing w:val="7"/>
          <w:sz w:val="31"/>
          <w:szCs w:val="31"/>
        </w:rPr>
        <w:t>推进绿色矿山建设</w:t>
      </w:r>
      <w:r>
        <w:rPr>
          <w:rFonts w:ascii="微软雅黑" w:hAnsi="微软雅黑" w:eastAsia="微软雅黑" w:cs="微软雅黑"/>
          <w:spacing w:val="-54"/>
          <w:sz w:val="31"/>
          <w:szCs w:val="31"/>
        </w:rPr>
        <w:t xml:space="preserve"> </w:t>
      </w:r>
      <w:r>
        <w:rPr>
          <w:rFonts w:ascii="微软雅黑" w:hAnsi="微软雅黑" w:eastAsia="微软雅黑" w:cs="微软雅黑"/>
          <w:spacing w:val="7"/>
          <w:sz w:val="31"/>
          <w:szCs w:val="31"/>
        </w:rPr>
        <w:t>。</w:t>
      </w:r>
      <w:r>
        <w:rPr>
          <w:rFonts w:ascii="仿宋" w:hAnsi="仿宋" w:eastAsia="仿宋" w:cs="仿宋"/>
          <w:spacing w:val="7"/>
          <w:sz w:val="31"/>
          <w:szCs w:val="31"/>
        </w:rPr>
        <w:t>将绿色矿山建设要求纳入采矿权出</w:t>
      </w:r>
      <w:r>
        <w:rPr>
          <w:rFonts w:ascii="仿宋" w:hAnsi="仿宋" w:eastAsia="仿宋" w:cs="仿宋"/>
          <w:spacing w:val="9"/>
          <w:sz w:val="31"/>
          <w:szCs w:val="31"/>
        </w:rPr>
        <w:t>让公告，从源头抓绿色矿山建设，采矿权出让合同中</w:t>
      </w:r>
      <w:r>
        <w:rPr>
          <w:rFonts w:ascii="仿宋" w:hAnsi="仿宋" w:eastAsia="仿宋" w:cs="仿宋"/>
          <w:spacing w:val="8"/>
          <w:sz w:val="31"/>
          <w:szCs w:val="31"/>
        </w:rPr>
        <w:t>明确矿</w:t>
      </w:r>
      <w:r>
        <w:rPr>
          <w:rFonts w:ascii="仿宋" w:hAnsi="仿宋" w:eastAsia="仿宋" w:cs="仿宋"/>
          <w:spacing w:val="-2"/>
          <w:sz w:val="31"/>
          <w:szCs w:val="31"/>
        </w:rPr>
        <w:t>山开发方式、资源利用、矿容矿貌、矿山生态环境</w:t>
      </w:r>
      <w:r>
        <w:rPr>
          <w:rFonts w:ascii="仿宋" w:hAnsi="仿宋" w:eastAsia="仿宋" w:cs="仿宋"/>
          <w:spacing w:val="-3"/>
          <w:sz w:val="31"/>
          <w:szCs w:val="31"/>
        </w:rPr>
        <w:t>恢复治理、</w:t>
      </w:r>
      <w:r>
        <w:rPr>
          <w:rFonts w:ascii="仿宋" w:hAnsi="仿宋" w:eastAsia="仿宋" w:cs="仿宋"/>
          <w:spacing w:val="9"/>
          <w:sz w:val="31"/>
          <w:szCs w:val="31"/>
        </w:rPr>
        <w:t>土地复垦等相关要求，对未履行采矿权出让合同中绿</w:t>
      </w:r>
      <w:r>
        <w:rPr>
          <w:rFonts w:ascii="仿宋" w:hAnsi="仿宋" w:eastAsia="仿宋" w:cs="仿宋"/>
          <w:spacing w:val="8"/>
          <w:sz w:val="31"/>
          <w:szCs w:val="31"/>
        </w:rPr>
        <w:t>色矿山建设任务的新建矿山企业，追究相关违约责任。</w:t>
      </w:r>
    </w:p>
    <w:p w14:paraId="0AEE92DF">
      <w:pPr>
        <w:spacing w:before="42" w:line="365" w:lineRule="auto"/>
        <w:ind w:left="19" w:right="19" w:firstLine="648"/>
        <w:rPr>
          <w:rFonts w:ascii="仿宋" w:hAnsi="仿宋" w:eastAsia="仿宋" w:cs="仿宋"/>
          <w:sz w:val="31"/>
          <w:szCs w:val="31"/>
        </w:rPr>
      </w:pPr>
      <w:r>
        <w:rPr>
          <w:rFonts w:ascii="微软雅黑" w:hAnsi="微软雅黑" w:eastAsia="微软雅黑" w:cs="微软雅黑"/>
          <w:spacing w:val="7"/>
          <w:sz w:val="31"/>
          <w:szCs w:val="31"/>
        </w:rPr>
        <w:t>夯实绿色矿山建设主体责任</w:t>
      </w:r>
      <w:r>
        <w:rPr>
          <w:rFonts w:ascii="微软雅黑" w:hAnsi="微软雅黑" w:eastAsia="微软雅黑" w:cs="微软雅黑"/>
          <w:spacing w:val="-50"/>
          <w:sz w:val="31"/>
          <w:szCs w:val="31"/>
        </w:rPr>
        <w:t xml:space="preserve"> </w:t>
      </w:r>
      <w:r>
        <w:rPr>
          <w:rFonts w:ascii="微软雅黑" w:hAnsi="微软雅黑" w:eastAsia="微软雅黑" w:cs="微软雅黑"/>
          <w:spacing w:val="7"/>
          <w:sz w:val="31"/>
          <w:szCs w:val="31"/>
        </w:rPr>
        <w:t>。</w:t>
      </w:r>
      <w:r>
        <w:rPr>
          <w:rFonts w:ascii="仿宋" w:hAnsi="仿宋" w:eastAsia="仿宋" w:cs="仿宋"/>
          <w:spacing w:val="7"/>
          <w:sz w:val="31"/>
          <w:szCs w:val="31"/>
        </w:rPr>
        <w:t>督促矿山企业提升</w:t>
      </w:r>
      <w:r>
        <w:rPr>
          <w:rFonts w:ascii="仿宋" w:hAnsi="仿宋" w:eastAsia="仿宋" w:cs="仿宋"/>
          <w:spacing w:val="6"/>
          <w:sz w:val="31"/>
          <w:szCs w:val="31"/>
        </w:rPr>
        <w:t>矿区环</w:t>
      </w:r>
      <w:r>
        <w:rPr>
          <w:rFonts w:ascii="仿宋" w:hAnsi="仿宋" w:eastAsia="仿宋" w:cs="仿宋"/>
          <w:spacing w:val="-3"/>
          <w:sz w:val="31"/>
          <w:szCs w:val="31"/>
        </w:rPr>
        <w:t>境，建设“花园式”矿山，实现矿区环境天蓝、地绿、水净。</w:t>
      </w:r>
      <w:r>
        <w:rPr>
          <w:rFonts w:ascii="仿宋" w:hAnsi="仿宋" w:eastAsia="仿宋" w:cs="仿宋"/>
          <w:spacing w:val="9"/>
          <w:sz w:val="31"/>
          <w:szCs w:val="31"/>
        </w:rPr>
        <w:t>鼓励企业转变资源开发方式，采用科学合理的开采方法，推广先进、高效的选矿方法，构建资源节约型、环境友好型开发方式，切实履行矿山地质环境治理恢复与土地复垦义务，确保矿区环境得到及时治理和恢复。综合利用主矿产和共伴</w:t>
      </w:r>
      <w:r>
        <w:rPr>
          <w:rFonts w:ascii="仿宋" w:hAnsi="仿宋" w:eastAsia="仿宋" w:cs="仿宋"/>
          <w:spacing w:val="6"/>
          <w:sz w:val="31"/>
          <w:szCs w:val="31"/>
        </w:rPr>
        <w:t>生资源。节约能源、减少</w:t>
      </w:r>
      <w:r>
        <w:rPr>
          <w:rFonts w:ascii="仿宋" w:hAnsi="仿宋" w:eastAsia="仿宋" w:cs="仿宋"/>
          <w:spacing w:val="-106"/>
          <w:sz w:val="31"/>
          <w:szCs w:val="31"/>
        </w:rPr>
        <w:t xml:space="preserve"> </w:t>
      </w:r>
      <w:r>
        <w:rPr>
          <w:rFonts w:ascii="仿宋" w:hAnsi="仿宋" w:eastAsia="仿宋" w:cs="仿宋"/>
          <w:spacing w:val="6"/>
          <w:sz w:val="31"/>
          <w:szCs w:val="31"/>
        </w:rPr>
        <w:t>“</w:t>
      </w:r>
      <w:r>
        <w:rPr>
          <w:rFonts w:ascii="仿宋" w:hAnsi="仿宋" w:eastAsia="仿宋" w:cs="仿宋"/>
          <w:spacing w:val="-120"/>
          <w:sz w:val="31"/>
          <w:szCs w:val="31"/>
        </w:rPr>
        <w:t xml:space="preserve"> </w:t>
      </w:r>
      <w:r>
        <w:rPr>
          <w:rFonts w:ascii="仿宋" w:hAnsi="仿宋" w:eastAsia="仿宋" w:cs="仿宋"/>
          <w:spacing w:val="6"/>
          <w:sz w:val="31"/>
          <w:szCs w:val="31"/>
        </w:rPr>
        <w:t>三废”排放，推广利</w:t>
      </w:r>
      <w:r>
        <w:rPr>
          <w:rFonts w:ascii="仿宋" w:hAnsi="仿宋" w:eastAsia="仿宋" w:cs="仿宋"/>
          <w:spacing w:val="5"/>
          <w:sz w:val="31"/>
          <w:szCs w:val="31"/>
        </w:rPr>
        <w:t>用高效节能</w:t>
      </w:r>
      <w:r>
        <w:rPr>
          <w:rFonts w:ascii="仿宋" w:hAnsi="仿宋" w:eastAsia="仿宋" w:cs="仿宋"/>
          <w:spacing w:val="9"/>
          <w:sz w:val="31"/>
          <w:szCs w:val="31"/>
        </w:rPr>
        <w:t>新技术、新工艺、新设备和新材料，控制废气粉尘、污水废水和固体废弃物的排放，并采取有效的处置和再利用措施。</w:t>
      </w:r>
      <w:r>
        <w:rPr>
          <w:rFonts w:ascii="仿宋" w:hAnsi="仿宋" w:eastAsia="仿宋" w:cs="仿宋"/>
          <w:spacing w:val="22"/>
          <w:sz w:val="31"/>
          <w:szCs w:val="31"/>
        </w:rPr>
        <w:t>推动矿山企业科技创新与数字化建设，实现矿</w:t>
      </w:r>
      <w:r>
        <w:rPr>
          <w:rFonts w:ascii="仿宋" w:hAnsi="仿宋" w:eastAsia="仿宋" w:cs="仿宋"/>
          <w:spacing w:val="21"/>
          <w:sz w:val="31"/>
          <w:szCs w:val="31"/>
        </w:rPr>
        <w:t>山开采机械</w:t>
      </w:r>
      <w:r>
        <w:rPr>
          <w:rFonts w:ascii="仿宋" w:hAnsi="仿宋" w:eastAsia="仿宋" w:cs="仿宋"/>
          <w:spacing w:val="9"/>
          <w:sz w:val="31"/>
          <w:szCs w:val="31"/>
        </w:rPr>
        <w:t>化，选冶工艺自动化，实现矿山企业经营、生产决策、安全生产管理和设备控制的信息化，对尾矿库、废石场、废渣场等堆场、边坡建设安全监测系统平台，废气、废水污染控制系统在线监测平台。提升企业管理和企业形象，实现办矿一处，造福一方，加强对职工和群众人文关怀，及时妥善处理</w:t>
      </w:r>
      <w:r>
        <w:rPr>
          <w:rFonts w:ascii="仿宋" w:hAnsi="仿宋" w:eastAsia="仿宋" w:cs="仿宋"/>
          <w:spacing w:val="8"/>
          <w:sz w:val="31"/>
          <w:szCs w:val="31"/>
        </w:rPr>
        <w:t>好各种利益纠纷，防止发生重大群体事件。</w:t>
      </w:r>
    </w:p>
    <w:p w14:paraId="0987E4A0">
      <w:pPr>
        <w:spacing w:line="365" w:lineRule="auto"/>
        <w:rPr>
          <w:rFonts w:ascii="仿宋" w:hAnsi="仿宋" w:eastAsia="仿宋" w:cs="仿宋"/>
          <w:sz w:val="31"/>
          <w:szCs w:val="31"/>
        </w:rPr>
        <w:sectPr>
          <w:footerReference r:id="rId43" w:type="default"/>
          <w:pgSz w:w="11904" w:h="16835"/>
          <w:pgMar w:top="1430" w:right="1782" w:bottom="1289" w:left="1785" w:header="0" w:footer="923" w:gutter="0"/>
          <w:cols w:space="720" w:num="1"/>
        </w:sectPr>
      </w:pPr>
    </w:p>
    <w:p w14:paraId="0AC2EFFA">
      <w:pPr>
        <w:pStyle w:val="2"/>
        <w:spacing w:before="157" w:line="321" w:lineRule="auto"/>
        <w:ind w:left="30" w:right="9" w:firstLine="654"/>
        <w:jc w:val="both"/>
        <w:rPr>
          <w:rFonts w:ascii="仿宋" w:hAnsi="仿宋" w:eastAsia="仿宋" w:cs="仿宋"/>
          <w:sz w:val="31"/>
          <w:szCs w:val="31"/>
        </w:rPr>
      </w:pPr>
      <w:r>
        <w:rPr>
          <w:rFonts w:ascii="微软雅黑" w:hAnsi="微软雅黑" w:eastAsia="微软雅黑" w:cs="微软雅黑"/>
          <w:sz w:val="31"/>
          <w:szCs w:val="31"/>
        </w:rPr>
        <w:t>营造良好的政策环境</w:t>
      </w:r>
      <w:r>
        <w:rPr>
          <w:sz w:val="31"/>
          <w:szCs w:val="31"/>
        </w:rPr>
        <w:t>.</w:t>
      </w:r>
      <w:r>
        <w:rPr>
          <w:spacing w:val="47"/>
          <w:sz w:val="31"/>
          <w:szCs w:val="31"/>
        </w:rPr>
        <w:t xml:space="preserve"> </w:t>
      </w:r>
      <w:r>
        <w:rPr>
          <w:rFonts w:ascii="仿宋" w:hAnsi="仿宋" w:eastAsia="仿宋" w:cs="仿宋"/>
          <w:sz w:val="31"/>
          <w:szCs w:val="31"/>
        </w:rPr>
        <w:t>充分运用经济</w:t>
      </w:r>
      <w:r>
        <w:rPr>
          <w:rFonts w:ascii="仿宋" w:hAnsi="仿宋" w:eastAsia="仿宋" w:cs="仿宋"/>
          <w:position w:val="-8"/>
          <w:sz w:val="31"/>
          <w:szCs w:val="31"/>
        </w:rPr>
        <w:t>、</w:t>
      </w:r>
      <w:r>
        <w:rPr>
          <w:rFonts w:ascii="仿宋" w:hAnsi="仿宋" w:eastAsia="仿宋" w:cs="仿宋"/>
          <w:sz w:val="31"/>
          <w:szCs w:val="31"/>
        </w:rPr>
        <w:t>行政等多</w:t>
      </w:r>
      <w:r>
        <w:rPr>
          <w:rFonts w:ascii="仿宋" w:hAnsi="仿宋" w:eastAsia="仿宋" w:cs="仿宋"/>
          <w:spacing w:val="-1"/>
          <w:sz w:val="31"/>
          <w:szCs w:val="31"/>
        </w:rPr>
        <w:t>种手段</w:t>
      </w:r>
      <w:r>
        <w:rPr>
          <w:rFonts w:ascii="仿宋" w:hAnsi="仿宋" w:eastAsia="仿宋" w:cs="仿宋"/>
          <w:spacing w:val="-1"/>
          <w:position w:val="-9"/>
          <w:sz w:val="31"/>
          <w:szCs w:val="31"/>
        </w:rPr>
        <w:t>，</w:t>
      </w:r>
      <w:r>
        <w:rPr>
          <w:rFonts w:ascii="仿宋" w:hAnsi="仿宋" w:eastAsia="仿宋" w:cs="仿宋"/>
          <w:spacing w:val="8"/>
          <w:sz w:val="31"/>
          <w:szCs w:val="31"/>
        </w:rPr>
        <w:t>落实资源综合利用、地质环境保护、节能减排等相关优惠政策，建立完善制度，推动绿色矿山建设。矿产资源节约与综</w:t>
      </w:r>
      <w:r>
        <w:rPr>
          <w:rFonts w:ascii="仿宋" w:hAnsi="仿宋" w:eastAsia="仿宋" w:cs="仿宋"/>
          <w:spacing w:val="9"/>
          <w:sz w:val="31"/>
          <w:szCs w:val="31"/>
        </w:rPr>
        <w:t>合利用等财政专项资金向绿色矿山企业的倾科和支持力度，</w:t>
      </w:r>
      <w:r>
        <w:rPr>
          <w:rFonts w:ascii="仿宋" w:hAnsi="仿宋" w:eastAsia="仿宋" w:cs="仿宋"/>
          <w:spacing w:val="21"/>
          <w:sz w:val="31"/>
          <w:szCs w:val="31"/>
        </w:rPr>
        <w:t>在资源配置和矿业用地等方面向达到绿色矿山的企业实行</w:t>
      </w:r>
      <w:r>
        <w:rPr>
          <w:rFonts w:ascii="仿宋" w:hAnsi="仿宋" w:eastAsia="仿宋" w:cs="仿宋"/>
          <w:spacing w:val="4"/>
          <w:sz w:val="31"/>
          <w:szCs w:val="31"/>
        </w:rPr>
        <w:t>政策倾斜。</w:t>
      </w:r>
    </w:p>
    <w:p w14:paraId="2B10E592">
      <w:pPr>
        <w:spacing w:before="3" w:line="355" w:lineRule="auto"/>
        <w:ind w:left="19" w:firstLine="637"/>
        <w:jc w:val="both"/>
        <w:rPr>
          <w:rFonts w:ascii="仿宋" w:hAnsi="仿宋" w:eastAsia="仿宋" w:cs="仿宋"/>
          <w:sz w:val="31"/>
          <w:szCs w:val="31"/>
        </w:rPr>
      </w:pPr>
      <w:r>
        <w:rPr>
          <w:rFonts w:ascii="微软雅黑" w:hAnsi="微软雅黑" w:eastAsia="微软雅黑" w:cs="微软雅黑"/>
          <w:spacing w:val="4"/>
          <w:sz w:val="31"/>
          <w:szCs w:val="31"/>
        </w:rPr>
        <w:t xml:space="preserve">严守安全底线不突破。 </w:t>
      </w:r>
      <w:r>
        <w:rPr>
          <w:rFonts w:ascii="仿宋" w:hAnsi="仿宋" w:eastAsia="仿宋" w:cs="仿宋"/>
          <w:spacing w:val="4"/>
          <w:sz w:val="31"/>
          <w:szCs w:val="31"/>
        </w:rPr>
        <w:t>切实筑牢矿山作为安全生产的主</w:t>
      </w:r>
      <w:r>
        <w:rPr>
          <w:rFonts w:ascii="仿宋" w:hAnsi="仿宋" w:eastAsia="仿宋" w:cs="仿宋"/>
          <w:spacing w:val="1"/>
          <w:sz w:val="31"/>
          <w:szCs w:val="31"/>
        </w:rPr>
        <w:t>体责任，树牢</w:t>
      </w:r>
      <w:r>
        <w:rPr>
          <w:rFonts w:ascii="仿宋" w:hAnsi="仿宋" w:eastAsia="仿宋" w:cs="仿宋"/>
          <w:spacing w:val="-96"/>
          <w:sz w:val="31"/>
          <w:szCs w:val="31"/>
        </w:rPr>
        <w:t xml:space="preserve"> </w:t>
      </w:r>
      <w:r>
        <w:rPr>
          <w:rFonts w:ascii="仿宋" w:hAnsi="仿宋" w:eastAsia="仿宋" w:cs="仿宋"/>
          <w:spacing w:val="1"/>
          <w:sz w:val="31"/>
          <w:szCs w:val="31"/>
        </w:rPr>
        <w:t>“</w:t>
      </w:r>
      <w:r>
        <w:rPr>
          <w:rFonts w:ascii="仿宋" w:hAnsi="仿宋" w:eastAsia="仿宋" w:cs="仿宋"/>
          <w:spacing w:val="-120"/>
          <w:sz w:val="31"/>
          <w:szCs w:val="31"/>
        </w:rPr>
        <w:t xml:space="preserve"> </w:t>
      </w:r>
      <w:r>
        <w:rPr>
          <w:rFonts w:ascii="仿宋" w:hAnsi="仿宋" w:eastAsia="仿宋" w:cs="仿宋"/>
          <w:spacing w:val="1"/>
          <w:sz w:val="31"/>
          <w:szCs w:val="31"/>
        </w:rPr>
        <w:t>两个至上”理念，</w:t>
      </w:r>
      <w:r>
        <w:rPr>
          <w:rFonts w:ascii="仿宋" w:hAnsi="仿宋" w:eastAsia="仿宋" w:cs="仿宋"/>
          <w:spacing w:val="-88"/>
          <w:sz w:val="31"/>
          <w:szCs w:val="31"/>
        </w:rPr>
        <w:t xml:space="preserve"> </w:t>
      </w:r>
      <w:r>
        <w:rPr>
          <w:rFonts w:ascii="仿宋" w:hAnsi="仿宋" w:eastAsia="仿宋" w:cs="仿宋"/>
          <w:spacing w:val="1"/>
          <w:sz w:val="31"/>
          <w:szCs w:val="31"/>
        </w:rPr>
        <w:t>以安全生产</w:t>
      </w:r>
      <w:r>
        <w:rPr>
          <w:rFonts w:ascii="仿宋" w:hAnsi="仿宋" w:eastAsia="仿宋" w:cs="仿宋"/>
          <w:spacing w:val="-107"/>
          <w:sz w:val="31"/>
          <w:szCs w:val="31"/>
        </w:rPr>
        <w:t xml:space="preserve"> </w:t>
      </w:r>
      <w:r>
        <w:rPr>
          <w:rFonts w:ascii="仿宋" w:hAnsi="仿宋" w:eastAsia="仿宋" w:cs="仿宋"/>
          <w:spacing w:val="1"/>
          <w:sz w:val="31"/>
          <w:szCs w:val="31"/>
        </w:rPr>
        <w:t>“十五条硬措</w:t>
      </w:r>
      <w:r>
        <w:rPr>
          <w:rFonts w:ascii="仿宋" w:hAnsi="仿宋" w:eastAsia="仿宋" w:cs="仿宋"/>
          <w:spacing w:val="9"/>
          <w:sz w:val="31"/>
          <w:szCs w:val="31"/>
        </w:rPr>
        <w:t>施”严格要求，坚决严查矿山领域安全生产违法行为，强化</w:t>
      </w:r>
      <w:r>
        <w:rPr>
          <w:rFonts w:ascii="仿宋" w:hAnsi="仿宋" w:eastAsia="仿宋" w:cs="仿宋"/>
          <w:spacing w:val="-2"/>
          <w:sz w:val="31"/>
          <w:szCs w:val="31"/>
        </w:rPr>
        <w:t>系统治理、源头治理，要集中攻坚制约安全生产的突出矛盾，</w:t>
      </w:r>
      <w:r>
        <w:rPr>
          <w:rFonts w:ascii="仿宋" w:hAnsi="仿宋" w:eastAsia="仿宋" w:cs="仿宋"/>
          <w:spacing w:val="9"/>
          <w:sz w:val="31"/>
          <w:szCs w:val="31"/>
        </w:rPr>
        <w:t>不断深化矿山重大安防工程建设，夯实安全生产基础，全面提升安全发展水平，切实维护人民群众生命财产安全和社会</w:t>
      </w:r>
      <w:r>
        <w:rPr>
          <w:rFonts w:ascii="仿宋" w:hAnsi="仿宋" w:eastAsia="仿宋" w:cs="仿宋"/>
          <w:spacing w:val="6"/>
          <w:sz w:val="31"/>
          <w:szCs w:val="31"/>
        </w:rPr>
        <w:t>大局稳定。</w:t>
      </w:r>
    </w:p>
    <w:p w14:paraId="54972B0A">
      <w:pPr>
        <w:spacing w:before="4" w:line="354" w:lineRule="auto"/>
        <w:ind w:left="26" w:right="35" w:firstLine="630"/>
        <w:rPr>
          <w:rFonts w:ascii="仿宋" w:hAnsi="仿宋" w:eastAsia="仿宋" w:cs="仿宋"/>
          <w:sz w:val="31"/>
          <w:szCs w:val="31"/>
        </w:rPr>
      </w:pPr>
      <w:r>
        <w:rPr>
          <w:rFonts w:ascii="微软雅黑" w:hAnsi="微软雅黑" w:eastAsia="微软雅黑" w:cs="微软雅黑"/>
          <w:spacing w:val="6"/>
          <w:sz w:val="31"/>
          <w:szCs w:val="31"/>
        </w:rPr>
        <w:t>严守法纪要求</w:t>
      </w:r>
      <w:r>
        <w:rPr>
          <w:rFonts w:ascii="微软雅黑" w:hAnsi="微软雅黑" w:eastAsia="微软雅黑" w:cs="微软雅黑"/>
          <w:spacing w:val="-50"/>
          <w:sz w:val="31"/>
          <w:szCs w:val="31"/>
        </w:rPr>
        <w:t xml:space="preserve"> </w:t>
      </w:r>
      <w:r>
        <w:rPr>
          <w:rFonts w:ascii="微软雅黑" w:hAnsi="微软雅黑" w:eastAsia="微软雅黑" w:cs="微软雅黑"/>
          <w:spacing w:val="6"/>
          <w:sz w:val="31"/>
          <w:szCs w:val="31"/>
        </w:rPr>
        <w:t>。</w:t>
      </w:r>
      <w:r>
        <w:rPr>
          <w:rFonts w:ascii="微软雅黑" w:hAnsi="微软雅黑" w:eastAsia="微软雅黑" w:cs="微软雅黑"/>
          <w:spacing w:val="-62"/>
          <w:sz w:val="31"/>
          <w:szCs w:val="31"/>
        </w:rPr>
        <w:t xml:space="preserve"> </w:t>
      </w:r>
      <w:r>
        <w:rPr>
          <w:rFonts w:ascii="仿宋" w:hAnsi="仿宋" w:eastAsia="仿宋" w:cs="仿宋"/>
          <w:spacing w:val="6"/>
          <w:sz w:val="31"/>
          <w:szCs w:val="31"/>
        </w:rPr>
        <w:t>大力引导矿山加强法制教育，树</w:t>
      </w:r>
      <w:r>
        <w:rPr>
          <w:rFonts w:ascii="仿宋" w:hAnsi="仿宋" w:eastAsia="仿宋" w:cs="仿宋"/>
          <w:spacing w:val="5"/>
          <w:sz w:val="31"/>
          <w:szCs w:val="31"/>
        </w:rPr>
        <w:t>立敬畏</w:t>
      </w:r>
      <w:r>
        <w:rPr>
          <w:rFonts w:ascii="仿宋" w:hAnsi="仿宋" w:eastAsia="仿宋" w:cs="仿宋"/>
          <w:spacing w:val="-3"/>
          <w:sz w:val="31"/>
          <w:szCs w:val="31"/>
        </w:rPr>
        <w:t>法纪、敬畏权力、敬畏责任，管好自己、增强廉洁企业意识。</w:t>
      </w:r>
      <w:r>
        <w:rPr>
          <w:rFonts w:ascii="仿宋" w:hAnsi="仿宋" w:eastAsia="仿宋" w:cs="仿宋"/>
          <w:spacing w:val="9"/>
          <w:sz w:val="31"/>
          <w:szCs w:val="31"/>
        </w:rPr>
        <w:t>以国有矿山为代表，引导党员干部自觉增强公</w:t>
      </w:r>
      <w:r>
        <w:rPr>
          <w:rFonts w:ascii="仿宋" w:hAnsi="仿宋" w:eastAsia="仿宋" w:cs="仿宋"/>
          <w:spacing w:val="8"/>
          <w:sz w:val="31"/>
          <w:szCs w:val="31"/>
        </w:rPr>
        <w:t>正用权、依法</w:t>
      </w:r>
      <w:r>
        <w:rPr>
          <w:rFonts w:ascii="仿宋" w:hAnsi="仿宋" w:eastAsia="仿宋" w:cs="仿宋"/>
          <w:spacing w:val="9"/>
          <w:sz w:val="31"/>
          <w:szCs w:val="31"/>
        </w:rPr>
        <w:t>用权、廉洁用权的纪律意识和规矩意识。坚持</w:t>
      </w:r>
      <w:r>
        <w:rPr>
          <w:rFonts w:ascii="仿宋" w:hAnsi="仿宋" w:eastAsia="仿宋" w:cs="仿宋"/>
          <w:spacing w:val="8"/>
          <w:sz w:val="31"/>
          <w:szCs w:val="31"/>
        </w:rPr>
        <w:t>教育、制度、</w:t>
      </w:r>
      <w:r>
        <w:rPr>
          <w:rFonts w:ascii="仿宋" w:hAnsi="仿宋" w:eastAsia="仿宋" w:cs="仿宋"/>
          <w:spacing w:val="-3"/>
          <w:sz w:val="31"/>
          <w:szCs w:val="31"/>
        </w:rPr>
        <w:t>监督、查处四个方向从严要求，形成矿业管理与开发之间“干</w:t>
      </w:r>
      <w:bookmarkStart w:id="43" w:name="bookmark27"/>
      <w:bookmarkEnd w:id="43"/>
      <w:r>
        <w:rPr>
          <w:rFonts w:ascii="仿宋" w:hAnsi="仿宋" w:eastAsia="仿宋" w:cs="仿宋"/>
          <w:spacing w:val="1"/>
          <w:sz w:val="31"/>
          <w:szCs w:val="31"/>
        </w:rPr>
        <w:t>净”与</w:t>
      </w:r>
      <w:r>
        <w:rPr>
          <w:rFonts w:ascii="仿宋" w:hAnsi="仿宋" w:eastAsia="仿宋" w:cs="仿宋"/>
          <w:spacing w:val="-91"/>
          <w:sz w:val="31"/>
          <w:szCs w:val="31"/>
        </w:rPr>
        <w:t xml:space="preserve"> </w:t>
      </w:r>
      <w:r>
        <w:rPr>
          <w:rFonts w:ascii="仿宋" w:hAnsi="仿宋" w:eastAsia="仿宋" w:cs="仿宋"/>
          <w:spacing w:val="1"/>
          <w:sz w:val="31"/>
          <w:szCs w:val="31"/>
        </w:rPr>
        <w:t>“担当”</w:t>
      </w:r>
      <w:r>
        <w:rPr>
          <w:rFonts w:ascii="仿宋" w:hAnsi="仿宋" w:eastAsia="仿宋" w:cs="仿宋"/>
          <w:spacing w:val="-111"/>
          <w:sz w:val="31"/>
          <w:szCs w:val="31"/>
        </w:rPr>
        <w:t xml:space="preserve"> </w:t>
      </w:r>
      <w:r>
        <w:rPr>
          <w:rFonts w:ascii="仿宋" w:hAnsi="仿宋" w:eastAsia="仿宋" w:cs="仿宋"/>
          <w:spacing w:val="1"/>
          <w:sz w:val="31"/>
          <w:szCs w:val="31"/>
        </w:rPr>
        <w:t>的政治生态格局。</w:t>
      </w:r>
    </w:p>
    <w:p w14:paraId="53838E38">
      <w:pPr>
        <w:pStyle w:val="2"/>
        <w:spacing w:line="252" w:lineRule="auto"/>
      </w:pPr>
    </w:p>
    <w:p w14:paraId="4E7044BD">
      <w:pPr>
        <w:pStyle w:val="2"/>
        <w:spacing w:line="253" w:lineRule="auto"/>
      </w:pPr>
    </w:p>
    <w:p w14:paraId="7129698A">
      <w:pPr>
        <w:pStyle w:val="2"/>
        <w:spacing w:line="253" w:lineRule="auto"/>
      </w:pPr>
    </w:p>
    <w:p w14:paraId="5DF9E89B">
      <w:pPr>
        <w:spacing w:before="128" w:line="324" w:lineRule="exact"/>
        <w:ind w:left="2369"/>
        <w:outlineLvl w:val="0"/>
        <w:rPr>
          <w:rFonts w:ascii="微软雅黑" w:hAnsi="微软雅黑" w:eastAsia="微软雅黑" w:cs="微软雅黑"/>
          <w:sz w:val="30"/>
          <w:szCs w:val="30"/>
        </w:rPr>
      </w:pPr>
      <w:bookmarkStart w:id="44" w:name="bookmark45"/>
      <w:bookmarkEnd w:id="44"/>
      <w:r>
        <w:rPr>
          <w:rFonts w:ascii="微软雅黑" w:hAnsi="微软雅黑" w:eastAsia="微软雅黑" w:cs="微软雅黑"/>
          <w:spacing w:val="13"/>
          <w:position w:val="-1"/>
          <w:sz w:val="30"/>
          <w:szCs w:val="30"/>
        </w:rPr>
        <w:t>第三节</w:t>
      </w:r>
      <w:r>
        <w:rPr>
          <w:rFonts w:ascii="微软雅黑" w:hAnsi="微软雅黑" w:eastAsia="微软雅黑" w:cs="微软雅黑"/>
          <w:spacing w:val="6"/>
          <w:position w:val="-1"/>
          <w:sz w:val="30"/>
          <w:szCs w:val="30"/>
        </w:rPr>
        <w:t xml:space="preserve">  </w:t>
      </w:r>
      <w:r>
        <w:rPr>
          <w:rFonts w:ascii="微软雅黑" w:hAnsi="微软雅黑" w:eastAsia="微软雅黑" w:cs="微软雅黑"/>
          <w:spacing w:val="13"/>
          <w:position w:val="-1"/>
          <w:sz w:val="30"/>
          <w:szCs w:val="30"/>
        </w:rPr>
        <w:t>加强矿山生态保护修复</w:t>
      </w:r>
    </w:p>
    <w:p w14:paraId="5724BBFF">
      <w:pPr>
        <w:spacing w:line="324" w:lineRule="exact"/>
        <w:rPr>
          <w:rFonts w:ascii="微软雅黑" w:hAnsi="微软雅黑" w:eastAsia="微软雅黑" w:cs="微软雅黑"/>
          <w:sz w:val="30"/>
          <w:szCs w:val="30"/>
        </w:rPr>
        <w:sectPr>
          <w:footerReference r:id="rId44" w:type="default"/>
          <w:pgSz w:w="11904" w:h="16835"/>
          <w:pgMar w:top="1430" w:right="1766" w:bottom="1289" w:left="1785" w:header="0" w:footer="923" w:gutter="0"/>
          <w:cols w:space="720" w:num="1"/>
        </w:sectPr>
      </w:pPr>
    </w:p>
    <w:p w14:paraId="1B57935D">
      <w:pPr>
        <w:pStyle w:val="2"/>
        <w:spacing w:before="120" w:line="341" w:lineRule="auto"/>
        <w:ind w:left="27" w:firstLine="633"/>
        <w:rPr>
          <w:rFonts w:ascii="仿宋" w:hAnsi="仿宋" w:eastAsia="仿宋" w:cs="仿宋"/>
          <w:sz w:val="31"/>
          <w:szCs w:val="31"/>
        </w:rPr>
      </w:pPr>
      <w:r>
        <w:rPr>
          <w:rFonts w:ascii="微软雅黑" w:hAnsi="微软雅黑" w:eastAsia="微软雅黑" w:cs="微软雅黑"/>
          <w:spacing w:val="6"/>
          <w:sz w:val="31"/>
          <w:szCs w:val="31"/>
        </w:rPr>
        <w:t>全面推行  "边开采边治理"  要求</w:t>
      </w:r>
      <w:r>
        <w:rPr>
          <w:rFonts w:ascii="微软雅黑" w:hAnsi="微软雅黑" w:eastAsia="微软雅黑" w:cs="微软雅黑"/>
          <w:spacing w:val="-46"/>
          <w:sz w:val="31"/>
          <w:szCs w:val="31"/>
        </w:rPr>
        <w:t xml:space="preserve"> </w:t>
      </w:r>
      <w:r>
        <w:rPr>
          <w:spacing w:val="6"/>
          <w:sz w:val="31"/>
          <w:szCs w:val="31"/>
        </w:rPr>
        <w:t>.</w:t>
      </w:r>
      <w:r>
        <w:rPr>
          <w:spacing w:val="28"/>
          <w:sz w:val="31"/>
          <w:szCs w:val="31"/>
        </w:rPr>
        <w:t xml:space="preserve">  </w:t>
      </w:r>
      <w:r>
        <w:rPr>
          <w:rFonts w:ascii="仿宋" w:hAnsi="仿宋" w:eastAsia="仿宋" w:cs="仿宋"/>
          <w:spacing w:val="6"/>
          <w:sz w:val="31"/>
          <w:szCs w:val="31"/>
        </w:rPr>
        <w:t>压实企业主体责任</w:t>
      </w:r>
      <w:r>
        <w:rPr>
          <w:rFonts w:ascii="仿宋" w:hAnsi="仿宋" w:eastAsia="仿宋" w:cs="仿宋"/>
          <w:spacing w:val="6"/>
          <w:position w:val="-9"/>
          <w:sz w:val="31"/>
          <w:szCs w:val="31"/>
        </w:rPr>
        <w:t>，</w:t>
      </w:r>
      <w:r>
        <w:rPr>
          <w:rFonts w:ascii="仿宋" w:hAnsi="仿宋" w:eastAsia="仿宋" w:cs="仿宋"/>
          <w:spacing w:val="4"/>
          <w:sz w:val="31"/>
          <w:szCs w:val="31"/>
        </w:rPr>
        <w:t>按照“谁污染、谁治理，谁破坏、谁恢复，谁受益、谁补偿”</w:t>
      </w:r>
      <w:r>
        <w:rPr>
          <w:rFonts w:ascii="仿宋" w:hAnsi="仿宋" w:eastAsia="仿宋" w:cs="仿宋"/>
          <w:spacing w:val="9"/>
          <w:sz w:val="31"/>
          <w:szCs w:val="31"/>
        </w:rPr>
        <w:t>的原则，矿业权人须严格按照批复的矿山地</w:t>
      </w:r>
      <w:r>
        <w:rPr>
          <w:rFonts w:ascii="仿宋" w:hAnsi="仿宋" w:eastAsia="仿宋" w:cs="仿宋"/>
          <w:spacing w:val="8"/>
          <w:sz w:val="31"/>
          <w:szCs w:val="31"/>
        </w:rPr>
        <w:t>质环境治理恢复</w:t>
      </w:r>
      <w:r>
        <w:rPr>
          <w:rFonts w:ascii="仿宋" w:hAnsi="仿宋" w:eastAsia="仿宋" w:cs="仿宋"/>
          <w:spacing w:val="9"/>
          <w:sz w:val="31"/>
          <w:szCs w:val="31"/>
        </w:rPr>
        <w:t>和土地复垦方案进行矿山生态环境修复，建立健全矿山建</w:t>
      </w:r>
    </w:p>
    <w:p w14:paraId="33F62112">
      <w:pPr>
        <w:spacing w:before="2" w:line="370" w:lineRule="auto"/>
        <w:ind w:left="22" w:right="202" w:firstLine="3"/>
        <w:rPr>
          <w:rFonts w:ascii="仿宋" w:hAnsi="仿宋" w:eastAsia="仿宋" w:cs="仿宋"/>
          <w:sz w:val="31"/>
          <w:szCs w:val="31"/>
        </w:rPr>
      </w:pPr>
      <w:r>
        <w:rPr>
          <w:rFonts w:ascii="仿宋" w:hAnsi="仿宋" w:eastAsia="仿宋" w:cs="仿宋"/>
          <w:spacing w:val="9"/>
          <w:sz w:val="31"/>
          <w:szCs w:val="31"/>
        </w:rPr>
        <w:t>设、生产、闭坑全生命周期、全矿山、全环节</w:t>
      </w:r>
      <w:r>
        <w:rPr>
          <w:rFonts w:ascii="仿宋" w:hAnsi="仿宋" w:eastAsia="仿宋" w:cs="仿宋"/>
          <w:spacing w:val="8"/>
          <w:sz w:val="31"/>
          <w:szCs w:val="31"/>
        </w:rPr>
        <w:t>的生态保护与</w:t>
      </w:r>
      <w:r>
        <w:rPr>
          <w:rFonts w:ascii="仿宋" w:hAnsi="仿宋" w:eastAsia="仿宋" w:cs="仿宋"/>
          <w:spacing w:val="5"/>
          <w:sz w:val="31"/>
          <w:szCs w:val="31"/>
        </w:rPr>
        <w:t>治理恢复机制。严格落实环保</w:t>
      </w:r>
      <w:r>
        <w:rPr>
          <w:rFonts w:ascii="仿宋" w:hAnsi="仿宋" w:eastAsia="仿宋" w:cs="仿宋"/>
          <w:spacing w:val="-94"/>
          <w:sz w:val="31"/>
          <w:szCs w:val="31"/>
        </w:rPr>
        <w:t xml:space="preserve"> </w:t>
      </w:r>
      <w:r>
        <w:rPr>
          <w:rFonts w:ascii="仿宋" w:hAnsi="仿宋" w:eastAsia="仿宋" w:cs="仿宋"/>
          <w:spacing w:val="5"/>
          <w:sz w:val="31"/>
          <w:szCs w:val="31"/>
        </w:rPr>
        <w:t>“</w:t>
      </w:r>
      <w:r>
        <w:rPr>
          <w:rFonts w:ascii="仿宋" w:hAnsi="仿宋" w:eastAsia="仿宋" w:cs="仿宋"/>
          <w:spacing w:val="-114"/>
          <w:sz w:val="31"/>
          <w:szCs w:val="31"/>
        </w:rPr>
        <w:t xml:space="preserve"> </w:t>
      </w:r>
      <w:r>
        <w:rPr>
          <w:rFonts w:ascii="仿宋" w:hAnsi="仿宋" w:eastAsia="仿宋" w:cs="仿宋"/>
          <w:spacing w:val="5"/>
          <w:sz w:val="31"/>
          <w:szCs w:val="31"/>
        </w:rPr>
        <w:t>三同时”要求，按照矿山生</w:t>
      </w:r>
      <w:r>
        <w:rPr>
          <w:rFonts w:ascii="仿宋" w:hAnsi="仿宋" w:eastAsia="仿宋" w:cs="仿宋"/>
          <w:spacing w:val="9"/>
          <w:sz w:val="31"/>
          <w:szCs w:val="31"/>
        </w:rPr>
        <w:t>态功能分区，及时对采空区、损毁土地、闲置土地进行</w:t>
      </w:r>
      <w:r>
        <w:rPr>
          <w:rFonts w:ascii="仿宋" w:hAnsi="仿宋" w:eastAsia="仿宋" w:cs="仿宋"/>
          <w:spacing w:val="8"/>
          <w:sz w:val="31"/>
          <w:szCs w:val="31"/>
        </w:rPr>
        <w:t>治理</w:t>
      </w:r>
      <w:r>
        <w:rPr>
          <w:rFonts w:ascii="仿宋" w:hAnsi="仿宋" w:eastAsia="仿宋" w:cs="仿宋"/>
          <w:spacing w:val="9"/>
          <w:sz w:val="31"/>
          <w:szCs w:val="31"/>
        </w:rPr>
        <w:t>恢复；露天开采矿山要严格执行自上而下分水平台阶开</w:t>
      </w:r>
      <w:r>
        <w:rPr>
          <w:rFonts w:ascii="仿宋" w:hAnsi="仿宋" w:eastAsia="仿宋" w:cs="仿宋"/>
          <w:spacing w:val="8"/>
          <w:sz w:val="31"/>
          <w:szCs w:val="31"/>
        </w:rPr>
        <w:t>采，</w:t>
      </w:r>
      <w:r>
        <w:rPr>
          <w:rFonts w:ascii="仿宋" w:hAnsi="仿宋" w:eastAsia="仿宋" w:cs="仿宋"/>
          <w:spacing w:val="9"/>
          <w:sz w:val="31"/>
          <w:szCs w:val="31"/>
        </w:rPr>
        <w:t>及时形成终了边坡；形成二阶以上终了边坡的，要及时</w:t>
      </w:r>
      <w:r>
        <w:rPr>
          <w:rFonts w:ascii="仿宋" w:hAnsi="仿宋" w:eastAsia="仿宋" w:cs="仿宋"/>
          <w:spacing w:val="8"/>
          <w:sz w:val="31"/>
          <w:szCs w:val="31"/>
        </w:rPr>
        <w:t>进行</w:t>
      </w:r>
      <w:r>
        <w:rPr>
          <w:rFonts w:ascii="仿宋" w:hAnsi="仿宋" w:eastAsia="仿宋" w:cs="仿宋"/>
          <w:spacing w:val="9"/>
          <w:sz w:val="31"/>
          <w:szCs w:val="31"/>
        </w:rPr>
        <w:t>治理复绿，绿植应与周边自然生态相协调。规划期内新</w:t>
      </w:r>
      <w:r>
        <w:rPr>
          <w:rFonts w:ascii="仿宋" w:hAnsi="仿宋" w:eastAsia="仿宋" w:cs="仿宋"/>
          <w:spacing w:val="8"/>
          <w:sz w:val="31"/>
          <w:szCs w:val="31"/>
        </w:rPr>
        <w:t>增矿山恢复治理面积应大于新增破坏矿山面积。</w:t>
      </w:r>
    </w:p>
    <w:p w14:paraId="1D177B5F">
      <w:pPr>
        <w:pStyle w:val="2"/>
        <w:spacing w:before="4" w:line="358" w:lineRule="auto"/>
        <w:ind w:left="21" w:right="202" w:firstLine="658"/>
        <w:rPr>
          <w:rFonts w:ascii="仿宋" w:hAnsi="仿宋" w:eastAsia="仿宋" w:cs="仿宋"/>
          <w:sz w:val="31"/>
          <w:szCs w:val="31"/>
        </w:rPr>
      </w:pPr>
      <w:r>
        <w:rPr>
          <w:rFonts w:ascii="微软雅黑" w:hAnsi="微软雅黑" w:eastAsia="微软雅黑" w:cs="微软雅黑"/>
          <w:spacing w:val="4"/>
          <w:sz w:val="31"/>
          <w:szCs w:val="31"/>
        </w:rPr>
        <w:t>完善矿山生态环境保护与土地复垦责任</w:t>
      </w:r>
      <w:r>
        <w:rPr>
          <w:rFonts w:ascii="微软雅黑" w:hAnsi="微软雅黑" w:eastAsia="微软雅黑" w:cs="微软雅黑"/>
          <w:spacing w:val="-44"/>
          <w:sz w:val="31"/>
          <w:szCs w:val="31"/>
        </w:rPr>
        <w:t xml:space="preserve"> </w:t>
      </w:r>
      <w:r>
        <w:rPr>
          <w:spacing w:val="4"/>
          <w:sz w:val="31"/>
          <w:szCs w:val="31"/>
        </w:rPr>
        <w:t>.</w:t>
      </w:r>
      <w:r>
        <w:rPr>
          <w:spacing w:val="29"/>
          <w:sz w:val="31"/>
          <w:szCs w:val="31"/>
        </w:rPr>
        <w:t xml:space="preserve">  </w:t>
      </w:r>
      <w:r>
        <w:rPr>
          <w:rFonts w:ascii="仿宋" w:hAnsi="仿宋" w:eastAsia="仿宋" w:cs="仿宋"/>
          <w:spacing w:val="4"/>
          <w:sz w:val="31"/>
          <w:szCs w:val="31"/>
        </w:rPr>
        <w:t>优化矿业权出</w:t>
      </w:r>
      <w:r>
        <w:rPr>
          <w:rFonts w:ascii="仿宋" w:hAnsi="仿宋" w:eastAsia="仿宋" w:cs="仿宋"/>
          <w:spacing w:val="9"/>
          <w:sz w:val="31"/>
          <w:szCs w:val="31"/>
        </w:rPr>
        <w:t>让合同管理，将矿山生态环境保护责任明确写入出让合同，提高准入门槛，落实违约责任追究。加强矿山生态环境保护与土地复垦基金管理。强化矿山生态环境保护全过程监管，对拒不履行治理恢复义务、严重破坏生态环境的，严格依法依规处理。健全矿山生态环境治理恢复与土地复垦检查与验收制度，执行矿山生态修复年度报告制度，每年报送当年矿山生态修复实施情况，开展矿山地质环境保护与土地复垦</w:t>
      </w:r>
    </w:p>
    <w:p w14:paraId="36F10E87">
      <w:pPr>
        <w:spacing w:line="371" w:lineRule="auto"/>
        <w:ind w:left="30" w:right="202" w:firstLine="20"/>
        <w:rPr>
          <w:rFonts w:ascii="仿宋" w:hAnsi="仿宋" w:eastAsia="仿宋" w:cs="仿宋"/>
          <w:sz w:val="31"/>
          <w:szCs w:val="31"/>
        </w:rPr>
      </w:pPr>
      <w:r>
        <w:rPr>
          <w:rFonts w:ascii="仿宋" w:hAnsi="仿宋" w:eastAsia="仿宋" w:cs="仿宋"/>
          <w:spacing w:val="8"/>
          <w:sz w:val="31"/>
          <w:szCs w:val="31"/>
        </w:rPr>
        <w:t>“双随机</w:t>
      </w:r>
      <w:r>
        <w:rPr>
          <w:rFonts w:hint="eastAsia" w:ascii="仿宋" w:hAnsi="仿宋" w:eastAsia="仿宋" w:cs="仿宋"/>
          <w:spacing w:val="8"/>
          <w:sz w:val="31"/>
          <w:szCs w:val="31"/>
          <w:lang w:eastAsia="zh-CN"/>
        </w:rPr>
        <w:t>、</w:t>
      </w:r>
      <w:r>
        <w:rPr>
          <w:rFonts w:ascii="仿宋" w:hAnsi="仿宋" w:eastAsia="仿宋" w:cs="仿宋"/>
          <w:spacing w:val="8"/>
          <w:sz w:val="31"/>
          <w:szCs w:val="31"/>
        </w:rPr>
        <w:t>一公开”检查，检查数量不少于其登记权</w:t>
      </w:r>
      <w:r>
        <w:rPr>
          <w:rFonts w:ascii="仿宋" w:hAnsi="仿宋" w:eastAsia="仿宋" w:cs="仿宋"/>
          <w:spacing w:val="7"/>
          <w:sz w:val="31"/>
          <w:szCs w:val="31"/>
        </w:rPr>
        <w:t>限范围内在建与生产矿山的</w:t>
      </w:r>
      <w:r>
        <w:rPr>
          <w:rFonts w:ascii="仿宋" w:hAnsi="仿宋" w:eastAsia="仿宋" w:cs="仿宋"/>
          <w:spacing w:val="-32"/>
          <w:sz w:val="31"/>
          <w:szCs w:val="31"/>
        </w:rPr>
        <w:t xml:space="preserve"> </w:t>
      </w:r>
      <w:r>
        <w:rPr>
          <w:rFonts w:ascii="仿宋" w:hAnsi="仿宋" w:eastAsia="仿宋" w:cs="仿宋"/>
          <w:spacing w:val="7"/>
          <w:sz w:val="31"/>
          <w:szCs w:val="31"/>
        </w:rPr>
        <w:t>10%。充分利用遥感影像、无人机航拍等</w:t>
      </w:r>
    </w:p>
    <w:p w14:paraId="1D3BE786">
      <w:pPr>
        <w:spacing w:line="371" w:lineRule="auto"/>
        <w:rPr>
          <w:rFonts w:ascii="仿宋" w:hAnsi="仿宋" w:eastAsia="仿宋" w:cs="仿宋"/>
          <w:sz w:val="31"/>
          <w:szCs w:val="31"/>
        </w:rPr>
        <w:sectPr>
          <w:footerReference r:id="rId45" w:type="default"/>
          <w:pgSz w:w="11904" w:h="16835"/>
          <w:pgMar w:top="1430" w:right="1598" w:bottom="1289" w:left="1785" w:header="0" w:footer="923" w:gutter="0"/>
          <w:cols w:space="720" w:num="1"/>
        </w:sectPr>
      </w:pPr>
    </w:p>
    <w:p w14:paraId="560C1141">
      <w:pPr>
        <w:spacing w:before="137" w:line="367" w:lineRule="auto"/>
        <w:ind w:left="28" w:right="16" w:firstLine="1"/>
        <w:rPr>
          <w:rFonts w:ascii="仿宋" w:hAnsi="仿宋" w:eastAsia="仿宋" w:cs="仿宋"/>
          <w:sz w:val="31"/>
          <w:szCs w:val="31"/>
        </w:rPr>
      </w:pPr>
      <w:r>
        <w:rPr>
          <w:rFonts w:ascii="仿宋" w:hAnsi="仿宋" w:eastAsia="仿宋" w:cs="仿宋"/>
          <w:spacing w:val="8"/>
          <w:sz w:val="31"/>
          <w:szCs w:val="31"/>
        </w:rPr>
        <w:t>技术手段开展日常监管，对基金计提进行动态化监管，要求</w:t>
      </w:r>
      <w:r>
        <w:rPr>
          <w:rFonts w:ascii="仿宋" w:hAnsi="仿宋" w:eastAsia="仿宋" w:cs="仿宋"/>
          <w:spacing w:val="7"/>
          <w:sz w:val="31"/>
          <w:szCs w:val="31"/>
        </w:rPr>
        <w:t>企业按照国家规定计提基金。</w:t>
      </w:r>
    </w:p>
    <w:p w14:paraId="01DDFC15">
      <w:pPr>
        <w:spacing w:before="1" w:line="354" w:lineRule="auto"/>
        <w:ind w:left="25" w:right="16" w:firstLine="647"/>
        <w:jc w:val="both"/>
        <w:rPr>
          <w:rFonts w:ascii="仿宋" w:hAnsi="仿宋" w:eastAsia="仿宋" w:cs="仿宋"/>
          <w:sz w:val="31"/>
          <w:szCs w:val="31"/>
        </w:rPr>
      </w:pPr>
      <w:r>
        <w:rPr>
          <w:rFonts w:ascii="微软雅黑" w:hAnsi="微软雅黑" w:eastAsia="微软雅黑" w:cs="微软雅黑"/>
          <w:spacing w:val="6"/>
          <w:sz w:val="31"/>
          <w:szCs w:val="31"/>
        </w:rPr>
        <w:t>落实矿业权人地灾防治主体责任</w:t>
      </w:r>
      <w:r>
        <w:rPr>
          <w:rFonts w:ascii="微软雅黑" w:hAnsi="微软雅黑" w:eastAsia="微软雅黑" w:cs="微软雅黑"/>
          <w:spacing w:val="-53"/>
          <w:sz w:val="31"/>
          <w:szCs w:val="31"/>
        </w:rPr>
        <w:t xml:space="preserve"> </w:t>
      </w:r>
      <w:r>
        <w:rPr>
          <w:rFonts w:ascii="微软雅黑" w:hAnsi="微软雅黑" w:eastAsia="微软雅黑" w:cs="微软雅黑"/>
          <w:spacing w:val="6"/>
          <w:sz w:val="31"/>
          <w:szCs w:val="31"/>
        </w:rPr>
        <w:t>。</w:t>
      </w:r>
      <w:r>
        <w:rPr>
          <w:rFonts w:ascii="微软雅黑" w:hAnsi="微软雅黑" w:eastAsia="微软雅黑" w:cs="微软雅黑"/>
          <w:spacing w:val="-70"/>
          <w:sz w:val="31"/>
          <w:szCs w:val="31"/>
        </w:rPr>
        <w:t xml:space="preserve"> </w:t>
      </w:r>
      <w:r>
        <w:rPr>
          <w:rFonts w:ascii="仿宋" w:hAnsi="仿宋" w:eastAsia="仿宋" w:cs="仿宋"/>
          <w:spacing w:val="6"/>
          <w:sz w:val="31"/>
          <w:szCs w:val="31"/>
        </w:rPr>
        <w:t>矿山开发利用</w:t>
      </w:r>
      <w:r>
        <w:rPr>
          <w:rFonts w:ascii="仿宋" w:hAnsi="仿宋" w:eastAsia="仿宋" w:cs="仿宋"/>
          <w:spacing w:val="5"/>
          <w:sz w:val="31"/>
          <w:szCs w:val="31"/>
        </w:rPr>
        <w:t>中地灾</w:t>
      </w:r>
      <w:r>
        <w:rPr>
          <w:rFonts w:ascii="仿宋" w:hAnsi="仿宋" w:eastAsia="仿宋" w:cs="仿宋"/>
          <w:spacing w:val="9"/>
          <w:sz w:val="31"/>
          <w:szCs w:val="31"/>
        </w:rPr>
        <w:t>防治责任在出让合同中明确，矿山建设开发前应</w:t>
      </w:r>
      <w:r>
        <w:rPr>
          <w:rFonts w:ascii="仿宋" w:hAnsi="仿宋" w:eastAsia="仿宋" w:cs="仿宋"/>
          <w:spacing w:val="8"/>
          <w:sz w:val="31"/>
          <w:szCs w:val="31"/>
        </w:rPr>
        <w:t>开展地质灾</w:t>
      </w:r>
      <w:r>
        <w:rPr>
          <w:rFonts w:ascii="仿宋" w:hAnsi="仿宋" w:eastAsia="仿宋" w:cs="仿宋"/>
          <w:spacing w:val="9"/>
          <w:sz w:val="31"/>
          <w:szCs w:val="31"/>
        </w:rPr>
        <w:t>害危险性评估，并按评估报告建议落实防灾措施</w:t>
      </w:r>
      <w:r>
        <w:rPr>
          <w:rFonts w:ascii="仿宋" w:hAnsi="仿宋" w:eastAsia="仿宋" w:cs="仿宋"/>
          <w:spacing w:val="8"/>
          <w:sz w:val="31"/>
          <w:szCs w:val="31"/>
        </w:rPr>
        <w:t>。加强地下</w:t>
      </w:r>
      <w:r>
        <w:rPr>
          <w:rFonts w:ascii="仿宋" w:hAnsi="仿宋" w:eastAsia="仿宋" w:cs="仿宋"/>
          <w:spacing w:val="9"/>
          <w:sz w:val="31"/>
          <w:szCs w:val="31"/>
        </w:rPr>
        <w:t>水水位及地表变形监测，防止因地下水过量开采</w:t>
      </w:r>
      <w:r>
        <w:rPr>
          <w:rFonts w:ascii="仿宋" w:hAnsi="仿宋" w:eastAsia="仿宋" w:cs="仿宋"/>
          <w:spacing w:val="8"/>
          <w:sz w:val="31"/>
          <w:szCs w:val="31"/>
        </w:rPr>
        <w:t>引起的地面</w:t>
      </w:r>
      <w:r>
        <w:rPr>
          <w:rFonts w:ascii="仿宋" w:hAnsi="仿宋" w:eastAsia="仿宋" w:cs="仿宋"/>
          <w:spacing w:val="9"/>
          <w:sz w:val="31"/>
          <w:szCs w:val="31"/>
        </w:rPr>
        <w:t>沉降等问题。矿山开发过程中引发的地质灾害由</w:t>
      </w:r>
      <w:r>
        <w:rPr>
          <w:rFonts w:ascii="仿宋" w:hAnsi="仿宋" w:eastAsia="仿宋" w:cs="仿宋"/>
          <w:spacing w:val="8"/>
          <w:sz w:val="31"/>
          <w:szCs w:val="31"/>
        </w:rPr>
        <w:t>矿业权人负责治理，不得使用中央、省级地质灾害专项资金进行治理。</w:t>
      </w:r>
    </w:p>
    <w:p w14:paraId="6D03913C">
      <w:pPr>
        <w:spacing w:before="103" w:line="344" w:lineRule="auto"/>
        <w:ind w:left="26" w:right="16" w:firstLine="646"/>
        <w:jc w:val="both"/>
        <w:rPr>
          <w:rFonts w:ascii="仿宋" w:hAnsi="仿宋" w:eastAsia="仿宋" w:cs="仿宋"/>
          <w:sz w:val="31"/>
          <w:szCs w:val="31"/>
        </w:rPr>
      </w:pPr>
      <w:r>
        <w:rPr>
          <w:rFonts w:ascii="微软雅黑" w:hAnsi="微软雅黑" w:eastAsia="微软雅黑" w:cs="微软雅黑"/>
          <w:spacing w:val="8"/>
          <w:sz w:val="31"/>
          <w:szCs w:val="31"/>
        </w:rPr>
        <w:t>落实矿业权人水土保持主体责任。</w:t>
      </w:r>
      <w:r>
        <w:rPr>
          <w:rFonts w:ascii="仿宋" w:hAnsi="仿宋" w:eastAsia="仿宋" w:cs="仿宋"/>
          <w:spacing w:val="8"/>
          <w:sz w:val="31"/>
          <w:szCs w:val="31"/>
        </w:rPr>
        <w:t>加强和水务部门相衔</w:t>
      </w:r>
      <w:r>
        <w:rPr>
          <w:rFonts w:ascii="仿宋" w:hAnsi="仿宋" w:eastAsia="仿宋" w:cs="仿宋"/>
          <w:spacing w:val="9"/>
          <w:sz w:val="31"/>
          <w:szCs w:val="31"/>
        </w:rPr>
        <w:t>接，对矿业开发中的水土保持工作开展必须符</w:t>
      </w:r>
      <w:r>
        <w:rPr>
          <w:rFonts w:ascii="仿宋" w:hAnsi="仿宋" w:eastAsia="仿宋" w:cs="仿宋"/>
          <w:spacing w:val="8"/>
          <w:sz w:val="31"/>
          <w:szCs w:val="31"/>
        </w:rPr>
        <w:t>合水土保持相</w:t>
      </w:r>
      <w:r>
        <w:rPr>
          <w:rFonts w:ascii="仿宋" w:hAnsi="仿宋" w:eastAsia="仿宋" w:cs="仿宋"/>
          <w:spacing w:val="9"/>
          <w:sz w:val="31"/>
          <w:szCs w:val="31"/>
        </w:rPr>
        <w:t>关要求，提交可供执行的水土保持方案，并按</w:t>
      </w:r>
      <w:r>
        <w:rPr>
          <w:rFonts w:ascii="仿宋" w:hAnsi="仿宋" w:eastAsia="仿宋" w:cs="仿宋"/>
          <w:spacing w:val="8"/>
          <w:sz w:val="31"/>
          <w:szCs w:val="31"/>
        </w:rPr>
        <w:t>照水土保持方案进行修复并通过水务部门验收。</w:t>
      </w:r>
    </w:p>
    <w:p w14:paraId="67C22D76">
      <w:pPr>
        <w:pStyle w:val="2"/>
        <w:spacing w:before="17" w:line="360" w:lineRule="auto"/>
        <w:ind w:left="16" w:right="16" w:firstLine="643"/>
        <w:jc w:val="both"/>
        <w:rPr>
          <w:rFonts w:ascii="仿宋" w:hAnsi="仿宋" w:eastAsia="仿宋" w:cs="仿宋"/>
          <w:sz w:val="31"/>
          <w:szCs w:val="31"/>
        </w:rPr>
      </w:pPr>
      <w:r>
        <w:rPr>
          <w:rFonts w:ascii="微软雅黑" w:hAnsi="微软雅黑" w:eastAsia="微软雅黑" w:cs="微软雅黑"/>
          <w:spacing w:val="6"/>
          <w:sz w:val="31"/>
          <w:szCs w:val="31"/>
        </w:rPr>
        <w:t>推行自然的生态治理修复方案</w:t>
      </w:r>
      <w:r>
        <w:rPr>
          <w:rFonts w:ascii="微软雅黑" w:hAnsi="微软雅黑" w:eastAsia="微软雅黑" w:cs="微软雅黑"/>
          <w:spacing w:val="-32"/>
          <w:sz w:val="31"/>
          <w:szCs w:val="31"/>
        </w:rPr>
        <w:t xml:space="preserve"> </w:t>
      </w:r>
      <w:r>
        <w:rPr>
          <w:spacing w:val="6"/>
          <w:sz w:val="31"/>
          <w:szCs w:val="31"/>
        </w:rPr>
        <w:t>.</w:t>
      </w:r>
      <w:r>
        <w:rPr>
          <w:spacing w:val="31"/>
          <w:sz w:val="31"/>
          <w:szCs w:val="31"/>
        </w:rPr>
        <w:t xml:space="preserve">  </w:t>
      </w:r>
      <w:r>
        <w:rPr>
          <w:rFonts w:ascii="仿宋" w:hAnsi="仿宋" w:eastAsia="仿宋" w:cs="仿宋"/>
          <w:spacing w:val="6"/>
          <w:sz w:val="31"/>
          <w:szCs w:val="31"/>
        </w:rPr>
        <w:t>鼓励矿山企业加强和改</w:t>
      </w:r>
      <w:r>
        <w:rPr>
          <w:rFonts w:ascii="仿宋" w:hAnsi="仿宋" w:eastAsia="仿宋" w:cs="仿宋"/>
          <w:spacing w:val="22"/>
          <w:sz w:val="31"/>
          <w:szCs w:val="31"/>
        </w:rPr>
        <w:t>进矿山地质环境保护和土地复垦的生物技术和系统工</w:t>
      </w:r>
      <w:r>
        <w:rPr>
          <w:rFonts w:ascii="仿宋" w:hAnsi="仿宋" w:eastAsia="仿宋" w:cs="仿宋"/>
          <w:spacing w:val="21"/>
          <w:sz w:val="31"/>
          <w:szCs w:val="31"/>
        </w:rPr>
        <w:t>程应</w:t>
      </w:r>
      <w:r>
        <w:rPr>
          <w:rFonts w:ascii="仿宋" w:hAnsi="仿宋" w:eastAsia="仿宋" w:cs="仿宋"/>
          <w:spacing w:val="9"/>
          <w:sz w:val="31"/>
          <w:szCs w:val="31"/>
        </w:rPr>
        <w:t>用，提高矿山生态系统自我修复能力；做到矿山地质环境保护和土地复垦与生态恢复、景观建设以及社会经济可持续发展相结合，修复后景观与当地自然环境相协调。在重点工程内以自然修复为主，人工修复为辅实施矿山生态修复。在自然条件较好，矿山开采损毁较轻的地区，辅以必要的围栏封育、适当补植、设置警示标志等人工干预，逐步辅助达到复垦要求，与周边生态环境相协调。对损毁较为严重的地区，包括露天采坑、尾矿库等，根据矿山土地复垦技术要求，按</w:t>
      </w:r>
    </w:p>
    <w:p w14:paraId="32B5BE74">
      <w:pPr>
        <w:spacing w:line="360" w:lineRule="auto"/>
        <w:rPr>
          <w:rFonts w:ascii="仿宋" w:hAnsi="仿宋" w:eastAsia="仿宋" w:cs="仿宋"/>
          <w:sz w:val="31"/>
          <w:szCs w:val="31"/>
        </w:rPr>
        <w:sectPr>
          <w:footerReference r:id="rId46" w:type="default"/>
          <w:pgSz w:w="11904" w:h="16835"/>
          <w:pgMar w:top="1430" w:right="1785" w:bottom="1289" w:left="1785" w:header="0" w:footer="923" w:gutter="0"/>
          <w:cols w:space="720" w:num="1"/>
        </w:sectPr>
      </w:pPr>
    </w:p>
    <w:p w14:paraId="6F38FEE5">
      <w:pPr>
        <w:spacing w:before="134" w:line="373" w:lineRule="auto"/>
        <w:ind w:left="30" w:right="16" w:firstLine="19"/>
        <w:rPr>
          <w:rFonts w:ascii="仿宋" w:hAnsi="仿宋" w:eastAsia="仿宋" w:cs="仿宋"/>
          <w:sz w:val="31"/>
          <w:szCs w:val="31"/>
        </w:rPr>
      </w:pPr>
      <w:r>
        <w:rPr>
          <w:rFonts w:ascii="仿宋" w:hAnsi="仿宋" w:eastAsia="仿宋" w:cs="仿宋"/>
          <w:spacing w:val="8"/>
          <w:sz w:val="31"/>
          <w:szCs w:val="31"/>
        </w:rPr>
        <w:t>照地质灾害治理、地貌重塑、土壤重构、植被重建、</w:t>
      </w:r>
      <w:r>
        <w:rPr>
          <w:rFonts w:ascii="仿宋" w:hAnsi="仿宋" w:eastAsia="仿宋" w:cs="仿宋"/>
          <w:spacing w:val="7"/>
          <w:sz w:val="31"/>
          <w:szCs w:val="31"/>
        </w:rPr>
        <w:t>设施配</w:t>
      </w:r>
      <w:bookmarkStart w:id="45" w:name="bookmark28"/>
      <w:bookmarkEnd w:id="45"/>
      <w:r>
        <w:rPr>
          <w:rFonts w:ascii="仿宋" w:hAnsi="仿宋" w:eastAsia="仿宋" w:cs="仿宋"/>
          <w:spacing w:val="7"/>
          <w:sz w:val="31"/>
          <w:szCs w:val="31"/>
        </w:rPr>
        <w:t>套的复垦要求，完成矿山生态治理。</w:t>
      </w:r>
    </w:p>
    <w:p w14:paraId="1F6DA6F8">
      <w:pPr>
        <w:spacing w:before="267" w:line="324" w:lineRule="exact"/>
        <w:ind w:left="1578"/>
        <w:outlineLvl w:val="0"/>
        <w:rPr>
          <w:rFonts w:ascii="微软雅黑" w:hAnsi="微软雅黑" w:eastAsia="微软雅黑" w:cs="微软雅黑"/>
          <w:sz w:val="30"/>
          <w:szCs w:val="30"/>
        </w:rPr>
      </w:pPr>
      <w:bookmarkStart w:id="46" w:name="bookmark46"/>
      <w:bookmarkEnd w:id="46"/>
      <w:r>
        <w:rPr>
          <w:rFonts w:ascii="微软雅黑" w:hAnsi="微软雅黑" w:eastAsia="微软雅黑" w:cs="微软雅黑"/>
          <w:spacing w:val="14"/>
          <w:position w:val="-1"/>
          <w:sz w:val="30"/>
          <w:szCs w:val="30"/>
        </w:rPr>
        <w:t>第四节</w:t>
      </w:r>
      <w:r>
        <w:rPr>
          <w:rFonts w:ascii="微软雅黑" w:hAnsi="微软雅黑" w:eastAsia="微软雅黑" w:cs="微软雅黑"/>
          <w:spacing w:val="93"/>
          <w:position w:val="-1"/>
          <w:sz w:val="30"/>
          <w:szCs w:val="30"/>
        </w:rPr>
        <w:t xml:space="preserve"> </w:t>
      </w:r>
      <w:r>
        <w:rPr>
          <w:rFonts w:ascii="微软雅黑" w:hAnsi="微软雅黑" w:eastAsia="微软雅黑" w:cs="微软雅黑"/>
          <w:spacing w:val="14"/>
          <w:position w:val="-1"/>
          <w:sz w:val="30"/>
          <w:szCs w:val="30"/>
        </w:rPr>
        <w:t>推动实历史遗留矿山生态修复工程</w:t>
      </w:r>
    </w:p>
    <w:p w14:paraId="14EA2F4F">
      <w:pPr>
        <w:pStyle w:val="2"/>
        <w:spacing w:line="245" w:lineRule="auto"/>
      </w:pPr>
    </w:p>
    <w:p w14:paraId="0AFB471D">
      <w:pPr>
        <w:pStyle w:val="2"/>
        <w:spacing w:line="246" w:lineRule="auto"/>
      </w:pPr>
    </w:p>
    <w:p w14:paraId="759C774E">
      <w:pPr>
        <w:spacing w:before="101" w:line="370" w:lineRule="auto"/>
        <w:ind w:left="27" w:right="16" w:firstLine="636"/>
        <w:jc w:val="both"/>
        <w:rPr>
          <w:rFonts w:ascii="仿宋" w:hAnsi="仿宋" w:eastAsia="仿宋" w:cs="仿宋"/>
          <w:sz w:val="31"/>
          <w:szCs w:val="31"/>
        </w:rPr>
      </w:pPr>
      <w:r>
        <w:rPr>
          <w:rFonts w:ascii="仿宋" w:hAnsi="仿宋" w:eastAsia="仿宋" w:cs="仿宋"/>
          <w:spacing w:val="8"/>
          <w:sz w:val="31"/>
          <w:szCs w:val="31"/>
        </w:rPr>
        <w:t>历史遗留矿山积极构建政府主导、政策扶持、社会资本</w:t>
      </w:r>
      <w:r>
        <w:rPr>
          <w:rFonts w:ascii="仿宋" w:hAnsi="仿宋" w:eastAsia="仿宋" w:cs="仿宋"/>
          <w:spacing w:val="9"/>
          <w:sz w:val="31"/>
          <w:szCs w:val="31"/>
        </w:rPr>
        <w:t>参与、开发式治理、市场化运作的治理新模</w:t>
      </w:r>
      <w:r>
        <w:rPr>
          <w:rFonts w:ascii="仿宋" w:hAnsi="仿宋" w:eastAsia="仿宋" w:cs="仿宋"/>
          <w:spacing w:val="8"/>
          <w:sz w:val="31"/>
          <w:szCs w:val="31"/>
        </w:rPr>
        <w:t>式，着力解决严</w:t>
      </w:r>
      <w:r>
        <w:rPr>
          <w:rFonts w:ascii="仿宋" w:hAnsi="仿宋" w:eastAsia="仿宋" w:cs="仿宋"/>
          <w:spacing w:val="9"/>
          <w:sz w:val="31"/>
          <w:szCs w:val="31"/>
        </w:rPr>
        <w:t>重影响人居环境、工农业生产、城市发展的</w:t>
      </w:r>
      <w:r>
        <w:rPr>
          <w:rFonts w:ascii="仿宋" w:hAnsi="仿宋" w:eastAsia="仿宋" w:cs="仿宋"/>
          <w:spacing w:val="8"/>
          <w:sz w:val="31"/>
          <w:szCs w:val="31"/>
        </w:rPr>
        <w:t>历史遗留矿山地</w:t>
      </w:r>
      <w:r>
        <w:rPr>
          <w:rFonts w:ascii="仿宋" w:hAnsi="仿宋" w:eastAsia="仿宋" w:cs="仿宋"/>
          <w:spacing w:val="9"/>
          <w:sz w:val="31"/>
          <w:szCs w:val="31"/>
        </w:rPr>
        <w:t>质环境问题。解决各级各类自然保护区、风</w:t>
      </w:r>
      <w:r>
        <w:rPr>
          <w:rFonts w:ascii="仿宋" w:hAnsi="仿宋" w:eastAsia="仿宋" w:cs="仿宋"/>
          <w:spacing w:val="8"/>
          <w:sz w:val="31"/>
          <w:szCs w:val="31"/>
        </w:rPr>
        <w:t>景名胜区、县级</w:t>
      </w:r>
      <w:r>
        <w:rPr>
          <w:rFonts w:ascii="仿宋" w:hAnsi="仿宋" w:eastAsia="仿宋" w:cs="仿宋"/>
          <w:spacing w:val="9"/>
          <w:sz w:val="31"/>
          <w:szCs w:val="31"/>
        </w:rPr>
        <w:t>以上城市规划区等重要居民集中区周边和高</w:t>
      </w:r>
      <w:r>
        <w:rPr>
          <w:rFonts w:ascii="仿宋" w:hAnsi="仿宋" w:eastAsia="仿宋" w:cs="仿宋"/>
          <w:spacing w:val="8"/>
          <w:sz w:val="31"/>
          <w:szCs w:val="31"/>
        </w:rPr>
        <w:t>速铁路、高速公</w:t>
      </w:r>
      <w:r>
        <w:rPr>
          <w:rFonts w:ascii="仿宋" w:hAnsi="仿宋" w:eastAsia="仿宋" w:cs="仿宋"/>
          <w:spacing w:val="9"/>
          <w:sz w:val="31"/>
          <w:szCs w:val="31"/>
        </w:rPr>
        <w:t>路、国道、省道等重要交通干线的矿山地质</w:t>
      </w:r>
      <w:r>
        <w:rPr>
          <w:rFonts w:ascii="仿宋" w:hAnsi="仿宋" w:eastAsia="仿宋" w:cs="仿宋"/>
          <w:spacing w:val="8"/>
          <w:sz w:val="31"/>
          <w:szCs w:val="31"/>
        </w:rPr>
        <w:t>环境问题。探索</w:t>
      </w:r>
      <w:r>
        <w:rPr>
          <w:rFonts w:ascii="仿宋" w:hAnsi="仿宋" w:eastAsia="仿宋" w:cs="仿宋"/>
          <w:spacing w:val="21"/>
          <w:sz w:val="31"/>
          <w:szCs w:val="31"/>
        </w:rPr>
        <w:t>将有代表性的历史遗留矿山建设矿业遗迹景点进行生态修</w:t>
      </w:r>
      <w:r>
        <w:rPr>
          <w:rFonts w:ascii="仿宋" w:hAnsi="仿宋" w:eastAsia="仿宋" w:cs="仿宋"/>
          <w:spacing w:val="8"/>
          <w:sz w:val="31"/>
          <w:szCs w:val="31"/>
        </w:rPr>
        <w:t>复，推动实施历史遗留矿山生态修复工程。</w:t>
      </w:r>
    </w:p>
    <w:p w14:paraId="1AF9CF95">
      <w:pPr>
        <w:pStyle w:val="2"/>
        <w:spacing w:before="9" w:line="359" w:lineRule="auto"/>
        <w:ind w:left="23" w:right="16" w:firstLine="652"/>
        <w:jc w:val="both"/>
        <w:rPr>
          <w:rFonts w:ascii="仿宋" w:hAnsi="仿宋" w:eastAsia="仿宋" w:cs="仿宋"/>
          <w:sz w:val="31"/>
          <w:szCs w:val="31"/>
        </w:rPr>
      </w:pPr>
      <w:r>
        <w:rPr>
          <w:rFonts w:ascii="微软雅黑" w:hAnsi="微软雅黑" w:eastAsia="微软雅黑" w:cs="微软雅黑"/>
          <w:spacing w:val="-4"/>
          <w:sz w:val="32"/>
          <w:szCs w:val="32"/>
        </w:rPr>
        <w:t>岷江流域和黄河流域废弃露天矿山生态修复工程</w:t>
      </w:r>
      <w:r>
        <w:rPr>
          <w:spacing w:val="-4"/>
          <w:sz w:val="32"/>
          <w:szCs w:val="32"/>
        </w:rPr>
        <w:t>.</w:t>
      </w:r>
      <w:r>
        <w:rPr>
          <w:spacing w:val="35"/>
          <w:sz w:val="32"/>
          <w:szCs w:val="32"/>
        </w:rPr>
        <w:t xml:space="preserve">  </w:t>
      </w:r>
      <w:r>
        <w:rPr>
          <w:rFonts w:ascii="仿宋" w:hAnsi="仿宋" w:eastAsia="仿宋" w:cs="仿宋"/>
          <w:spacing w:val="-4"/>
          <w:sz w:val="31"/>
          <w:szCs w:val="31"/>
        </w:rPr>
        <w:t>沿岷</w:t>
      </w:r>
      <w:r>
        <w:rPr>
          <w:rFonts w:ascii="仿宋" w:hAnsi="仿宋" w:eastAsia="仿宋" w:cs="仿宋"/>
          <w:sz w:val="31"/>
          <w:szCs w:val="31"/>
        </w:rPr>
        <w:t>江两岸各10-50公里和黄河上游（</w:t>
      </w:r>
      <w:r>
        <w:rPr>
          <w:rFonts w:ascii="仿宋" w:hAnsi="仿宋" w:eastAsia="仿宋" w:cs="仿宋"/>
          <w:spacing w:val="-82"/>
          <w:sz w:val="31"/>
          <w:szCs w:val="31"/>
        </w:rPr>
        <w:t xml:space="preserve"> </w:t>
      </w:r>
      <w:r>
        <w:rPr>
          <w:rFonts w:ascii="仿宋" w:hAnsi="仿宋" w:eastAsia="仿宋" w:cs="仿宋"/>
          <w:sz w:val="31"/>
          <w:szCs w:val="31"/>
        </w:rPr>
        <w:t>黑河、</w:t>
      </w:r>
      <w:r>
        <w:rPr>
          <w:rFonts w:ascii="仿宋" w:hAnsi="仿宋" w:eastAsia="仿宋" w:cs="仿宋"/>
          <w:spacing w:val="-86"/>
          <w:sz w:val="31"/>
          <w:szCs w:val="31"/>
        </w:rPr>
        <w:t xml:space="preserve"> </w:t>
      </w:r>
      <w:r>
        <w:rPr>
          <w:rFonts w:ascii="仿宋" w:hAnsi="仿宋" w:eastAsia="仿宋" w:cs="仿宋"/>
          <w:sz w:val="31"/>
          <w:szCs w:val="31"/>
        </w:rPr>
        <w:t>白河</w:t>
      </w:r>
      <w:r>
        <w:rPr>
          <w:rFonts w:ascii="仿宋" w:hAnsi="仿宋" w:eastAsia="仿宋" w:cs="仿宋"/>
          <w:spacing w:val="-63"/>
          <w:sz w:val="31"/>
          <w:szCs w:val="31"/>
        </w:rPr>
        <w:t xml:space="preserve"> </w:t>
      </w:r>
      <w:r>
        <w:rPr>
          <w:rFonts w:ascii="仿宋" w:hAnsi="仿宋" w:eastAsia="仿宋" w:cs="仿宋"/>
          <w:sz w:val="31"/>
          <w:szCs w:val="31"/>
        </w:rPr>
        <w:t>）沿岸10-</w:t>
      </w:r>
      <w:r>
        <w:rPr>
          <w:rFonts w:ascii="仿宋" w:hAnsi="仿宋" w:eastAsia="仿宋" w:cs="仿宋"/>
          <w:spacing w:val="-1"/>
          <w:sz w:val="31"/>
          <w:szCs w:val="31"/>
        </w:rPr>
        <w:t>50公</w:t>
      </w:r>
      <w:r>
        <w:rPr>
          <w:rFonts w:ascii="仿宋" w:hAnsi="仿宋" w:eastAsia="仿宋" w:cs="仿宋"/>
          <w:spacing w:val="9"/>
          <w:sz w:val="31"/>
          <w:szCs w:val="31"/>
        </w:rPr>
        <w:t>里范围内生态问题严重的历史遗留矿山，以矿山所在</w:t>
      </w:r>
      <w:r>
        <w:rPr>
          <w:rFonts w:ascii="仿宋" w:hAnsi="仿宋" w:eastAsia="仿宋" w:cs="仿宋"/>
          <w:spacing w:val="8"/>
          <w:sz w:val="31"/>
          <w:szCs w:val="31"/>
        </w:rPr>
        <w:t>县级人</w:t>
      </w:r>
      <w:r>
        <w:rPr>
          <w:rFonts w:ascii="仿宋" w:hAnsi="仿宋" w:eastAsia="仿宋" w:cs="仿宋"/>
          <w:spacing w:val="9"/>
          <w:sz w:val="31"/>
          <w:szCs w:val="31"/>
        </w:rPr>
        <w:t>民政府作为生态修复工程责任主体，沿岷江干流及主</w:t>
      </w:r>
      <w:r>
        <w:rPr>
          <w:rFonts w:ascii="仿宋" w:hAnsi="仿宋" w:eastAsia="仿宋" w:cs="仿宋"/>
          <w:spacing w:val="8"/>
          <w:sz w:val="31"/>
          <w:szCs w:val="31"/>
        </w:rPr>
        <w:t>要支流</w:t>
      </w:r>
      <w:r>
        <w:rPr>
          <w:rFonts w:ascii="仿宋" w:hAnsi="仿宋" w:eastAsia="仿宋" w:cs="仿宋"/>
          <w:spacing w:val="9"/>
          <w:sz w:val="31"/>
          <w:szCs w:val="31"/>
        </w:rPr>
        <w:t>废弃露天矿山生态修复主要任务为开展土地恢复、地</w:t>
      </w:r>
      <w:r>
        <w:rPr>
          <w:rFonts w:ascii="仿宋" w:hAnsi="仿宋" w:eastAsia="仿宋" w:cs="仿宋"/>
          <w:spacing w:val="8"/>
          <w:sz w:val="31"/>
          <w:szCs w:val="31"/>
        </w:rPr>
        <w:t>貌景观</w:t>
      </w:r>
      <w:r>
        <w:rPr>
          <w:rFonts w:ascii="仿宋" w:hAnsi="仿宋" w:eastAsia="仿宋" w:cs="仿宋"/>
          <w:spacing w:val="9"/>
          <w:sz w:val="31"/>
          <w:szCs w:val="31"/>
        </w:rPr>
        <w:t>恢复，实施含水层、地面塌陷、滑坡、泥石流治理与</w:t>
      </w:r>
      <w:r>
        <w:rPr>
          <w:rFonts w:ascii="仿宋" w:hAnsi="仿宋" w:eastAsia="仿宋" w:cs="仿宋"/>
          <w:spacing w:val="8"/>
          <w:sz w:val="31"/>
          <w:szCs w:val="31"/>
        </w:rPr>
        <w:t>矿山复</w:t>
      </w:r>
      <w:r>
        <w:rPr>
          <w:rFonts w:ascii="仿宋" w:hAnsi="仿宋" w:eastAsia="仿宋" w:cs="仿宋"/>
          <w:spacing w:val="3"/>
          <w:sz w:val="31"/>
          <w:szCs w:val="31"/>
        </w:rPr>
        <w:t>绿等。黄河流域（</w:t>
      </w:r>
      <w:r>
        <w:rPr>
          <w:rFonts w:ascii="仿宋" w:hAnsi="仿宋" w:eastAsia="仿宋" w:cs="仿宋"/>
          <w:spacing w:val="-71"/>
          <w:sz w:val="31"/>
          <w:szCs w:val="31"/>
        </w:rPr>
        <w:t xml:space="preserve"> </w:t>
      </w:r>
      <w:r>
        <w:rPr>
          <w:rFonts w:ascii="仿宋" w:hAnsi="仿宋" w:eastAsia="仿宋" w:cs="仿宋"/>
          <w:spacing w:val="3"/>
          <w:sz w:val="31"/>
          <w:szCs w:val="31"/>
        </w:rPr>
        <w:t>黑河、</w:t>
      </w:r>
      <w:r>
        <w:rPr>
          <w:rFonts w:ascii="仿宋" w:hAnsi="仿宋" w:eastAsia="仿宋" w:cs="仿宋"/>
          <w:spacing w:val="-86"/>
          <w:sz w:val="31"/>
          <w:szCs w:val="31"/>
        </w:rPr>
        <w:t xml:space="preserve"> </w:t>
      </w:r>
      <w:r>
        <w:rPr>
          <w:rFonts w:ascii="仿宋" w:hAnsi="仿宋" w:eastAsia="仿宋" w:cs="仿宋"/>
          <w:spacing w:val="3"/>
          <w:sz w:val="31"/>
          <w:szCs w:val="31"/>
        </w:rPr>
        <w:t>白河）流域废弃露天矿山生态修复</w:t>
      </w:r>
      <w:r>
        <w:rPr>
          <w:rFonts w:ascii="仿宋" w:hAnsi="仿宋" w:eastAsia="仿宋" w:cs="仿宋"/>
          <w:spacing w:val="9"/>
          <w:sz w:val="31"/>
          <w:szCs w:val="31"/>
        </w:rPr>
        <w:t>主要任务为恢复草场，实地恢复和提升水源涵养功能</w:t>
      </w:r>
      <w:r>
        <w:rPr>
          <w:rFonts w:ascii="仿宋" w:hAnsi="仿宋" w:eastAsia="仿宋" w:cs="仿宋"/>
          <w:spacing w:val="8"/>
          <w:sz w:val="31"/>
          <w:szCs w:val="31"/>
        </w:rPr>
        <w:t>，提升生态自然修复能力。两流域2025年规划历史遗留矿山生态修复面积821.6公顷，2023年前完成历史遗留矿山生态</w:t>
      </w:r>
      <w:r>
        <w:rPr>
          <w:rFonts w:ascii="仿宋" w:hAnsi="仿宋" w:eastAsia="仿宋" w:cs="仿宋"/>
          <w:spacing w:val="7"/>
          <w:sz w:val="31"/>
          <w:szCs w:val="31"/>
        </w:rPr>
        <w:t>修复面</w:t>
      </w:r>
    </w:p>
    <w:p w14:paraId="4FCB9C60">
      <w:pPr>
        <w:spacing w:line="359" w:lineRule="auto"/>
        <w:rPr>
          <w:rFonts w:ascii="仿宋" w:hAnsi="仿宋" w:eastAsia="仿宋" w:cs="仿宋"/>
          <w:sz w:val="31"/>
          <w:szCs w:val="31"/>
        </w:rPr>
        <w:sectPr>
          <w:footerReference r:id="rId47" w:type="default"/>
          <w:pgSz w:w="11904" w:h="16835"/>
          <w:pgMar w:top="1430" w:right="1785" w:bottom="1289" w:left="1785" w:header="0" w:footer="920" w:gutter="0"/>
          <w:cols w:space="720" w:num="1"/>
        </w:sectPr>
      </w:pPr>
    </w:p>
    <w:p w14:paraId="54A0CD3B">
      <w:pPr>
        <w:spacing w:before="134" w:line="373" w:lineRule="auto"/>
        <w:ind w:left="26" w:right="16" w:firstLine="2"/>
        <w:rPr>
          <w:rFonts w:ascii="仿宋" w:hAnsi="仿宋" w:eastAsia="仿宋" w:cs="仿宋"/>
          <w:sz w:val="31"/>
          <w:szCs w:val="31"/>
        </w:rPr>
      </w:pPr>
      <w:r>
        <w:rPr>
          <w:rFonts w:ascii="仿宋" w:hAnsi="仿宋" w:eastAsia="仿宋" w:cs="仿宋"/>
          <w:spacing w:val="7"/>
          <w:sz w:val="31"/>
          <w:szCs w:val="31"/>
        </w:rPr>
        <w:t>积188.48公顷，到2025年，全面完成岷江区域两岸和黄河流</w:t>
      </w:r>
      <w:r>
        <w:rPr>
          <w:rFonts w:ascii="仿宋" w:hAnsi="仿宋" w:eastAsia="仿宋" w:cs="仿宋"/>
          <w:spacing w:val="2"/>
          <w:sz w:val="31"/>
          <w:szCs w:val="31"/>
        </w:rPr>
        <w:t>域（黑河、白河）10-50公里范围内废弃</w:t>
      </w:r>
      <w:r>
        <w:rPr>
          <w:rFonts w:ascii="仿宋" w:hAnsi="仿宋" w:eastAsia="仿宋" w:cs="仿宋"/>
          <w:spacing w:val="1"/>
          <w:sz w:val="31"/>
          <w:szCs w:val="31"/>
        </w:rPr>
        <w:t>露天矿山治理任务。</w:t>
      </w:r>
    </w:p>
    <w:p w14:paraId="3C06D96D">
      <w:pPr>
        <w:spacing w:line="373" w:lineRule="auto"/>
        <w:rPr>
          <w:rFonts w:ascii="仿宋" w:hAnsi="仿宋" w:eastAsia="仿宋" w:cs="仿宋"/>
          <w:sz w:val="31"/>
          <w:szCs w:val="31"/>
        </w:rPr>
        <w:sectPr>
          <w:footerReference r:id="rId48" w:type="default"/>
          <w:pgSz w:w="11904" w:h="16835"/>
          <w:pgMar w:top="1430" w:right="1785" w:bottom="1289" w:left="1785" w:header="0" w:footer="920" w:gutter="0"/>
          <w:cols w:space="720" w:num="1"/>
        </w:sectPr>
      </w:pPr>
    </w:p>
    <w:p w14:paraId="7CAFB58C">
      <w:pPr>
        <w:pStyle w:val="2"/>
        <w:spacing w:line="290" w:lineRule="auto"/>
      </w:pPr>
    </w:p>
    <w:p w14:paraId="38CDF2BA">
      <w:pPr>
        <w:spacing w:before="101" w:line="226" w:lineRule="auto"/>
        <w:ind w:left="1941"/>
        <w:outlineLvl w:val="0"/>
        <w:rPr>
          <w:rFonts w:ascii="黑体" w:hAnsi="黑体" w:eastAsia="黑体" w:cs="黑体"/>
          <w:sz w:val="31"/>
          <w:szCs w:val="31"/>
        </w:rPr>
      </w:pPr>
      <w:r>
        <w:rPr>
          <w:rFonts w:ascii="黑体" w:hAnsi="黑体" w:eastAsia="黑体" w:cs="黑体"/>
          <w:spacing w:val="8"/>
          <w:sz w:val="31"/>
          <w:szCs w:val="31"/>
        </w:rPr>
        <w:t>第六章 强化规划管控 保障规划实施</w:t>
      </w:r>
    </w:p>
    <w:p w14:paraId="3C3B1DC0">
      <w:pPr>
        <w:pStyle w:val="2"/>
        <w:spacing w:line="406" w:lineRule="auto"/>
      </w:pPr>
    </w:p>
    <w:p w14:paraId="0AFB225F">
      <w:pPr>
        <w:spacing w:before="101" w:line="226" w:lineRule="auto"/>
        <w:ind w:left="688"/>
        <w:rPr>
          <w:rFonts w:ascii="黑体" w:hAnsi="黑体" w:eastAsia="黑体" w:cs="黑体"/>
          <w:sz w:val="31"/>
          <w:szCs w:val="31"/>
        </w:rPr>
      </w:pPr>
      <w:r>
        <w:rPr>
          <w:rFonts w:ascii="黑体" w:hAnsi="黑体" w:eastAsia="黑体" w:cs="黑体"/>
          <w:spacing w:val="7"/>
          <w:sz w:val="31"/>
          <w:szCs w:val="31"/>
        </w:rPr>
        <w:t>一、加强组织领导</w:t>
      </w:r>
    </w:p>
    <w:p w14:paraId="4E53711D">
      <w:pPr>
        <w:spacing w:before="249" w:line="371" w:lineRule="auto"/>
        <w:ind w:left="11" w:right="16" w:firstLine="672"/>
        <w:jc w:val="both"/>
        <w:rPr>
          <w:rFonts w:ascii="仿宋" w:hAnsi="仿宋" w:eastAsia="仿宋" w:cs="仿宋"/>
          <w:sz w:val="31"/>
          <w:szCs w:val="31"/>
        </w:rPr>
      </w:pPr>
      <w:r>
        <w:rPr>
          <w:rFonts w:ascii="仿宋" w:hAnsi="仿宋" w:eastAsia="仿宋" w:cs="仿宋"/>
          <w:spacing w:val="8"/>
          <w:sz w:val="31"/>
          <w:szCs w:val="31"/>
        </w:rPr>
        <w:t>强化州县人民政府在规划实施过程中的主体责任，</w:t>
      </w:r>
      <w:r>
        <w:rPr>
          <w:rFonts w:ascii="仿宋" w:hAnsi="仿宋" w:eastAsia="仿宋" w:cs="仿宋"/>
          <w:spacing w:val="7"/>
          <w:sz w:val="31"/>
          <w:szCs w:val="31"/>
        </w:rPr>
        <w:t>充分</w:t>
      </w:r>
      <w:r>
        <w:rPr>
          <w:rFonts w:ascii="仿宋" w:hAnsi="仿宋" w:eastAsia="仿宋" w:cs="仿宋"/>
          <w:spacing w:val="9"/>
          <w:sz w:val="31"/>
          <w:szCs w:val="31"/>
        </w:rPr>
        <w:t>发挥有关部门职能职责，建立由自然资源局牵头，发改、经信、财政、生态环境、商务、水利、应急管理等各部门协调配合的规划实施与监管联动机制，做好政策衔接，及时研究解决规划实施中的重大问题形成推动规划实施的合力。各级人民政府和有关部门要高度重视，将规划实施列入重要议事日程，切实加强组织领导，建立规划实施共同责任机制。</w:t>
      </w:r>
    </w:p>
    <w:p w14:paraId="6AD51C68">
      <w:pPr>
        <w:spacing w:line="227" w:lineRule="auto"/>
        <w:ind w:left="688"/>
        <w:rPr>
          <w:rFonts w:ascii="黑体" w:hAnsi="黑体" w:eastAsia="黑体" w:cs="黑体"/>
          <w:sz w:val="31"/>
          <w:szCs w:val="31"/>
        </w:rPr>
      </w:pPr>
      <w:r>
        <w:rPr>
          <w:rFonts w:ascii="黑体" w:hAnsi="黑体" w:eastAsia="黑体" w:cs="黑体"/>
          <w:spacing w:val="7"/>
          <w:sz w:val="31"/>
          <w:szCs w:val="31"/>
        </w:rPr>
        <w:t>二、强化规划管控</w:t>
      </w:r>
    </w:p>
    <w:p w14:paraId="5BA16F69">
      <w:pPr>
        <w:spacing w:before="244" w:line="221" w:lineRule="auto"/>
        <w:ind w:left="669"/>
        <w:rPr>
          <w:rFonts w:ascii="仿宋" w:hAnsi="仿宋" w:eastAsia="仿宋" w:cs="仿宋"/>
          <w:sz w:val="31"/>
          <w:szCs w:val="31"/>
        </w:rPr>
      </w:pPr>
      <w:r>
        <w:rPr>
          <w:rFonts w:ascii="仿宋" w:hAnsi="仿宋" w:eastAsia="仿宋" w:cs="仿宋"/>
          <w:spacing w:val="9"/>
          <w:sz w:val="31"/>
          <w:szCs w:val="31"/>
        </w:rPr>
        <w:t>矿产资源勘查开发和矿区生态修复实施中重</w:t>
      </w:r>
      <w:r>
        <w:rPr>
          <w:rFonts w:ascii="仿宋" w:hAnsi="仿宋" w:eastAsia="仿宋" w:cs="仿宋"/>
          <w:spacing w:val="8"/>
          <w:sz w:val="31"/>
          <w:szCs w:val="31"/>
        </w:rPr>
        <w:t>要体现矿</w:t>
      </w:r>
    </w:p>
    <w:p w14:paraId="6F788483">
      <w:pPr>
        <w:spacing w:before="255" w:line="371" w:lineRule="auto"/>
        <w:ind w:left="21" w:right="16"/>
        <w:rPr>
          <w:rFonts w:ascii="仿宋" w:hAnsi="仿宋" w:eastAsia="仿宋" w:cs="仿宋"/>
          <w:sz w:val="31"/>
          <w:szCs w:val="31"/>
        </w:rPr>
      </w:pPr>
      <w:r>
        <w:rPr>
          <w:rFonts w:ascii="仿宋" w:hAnsi="仿宋" w:eastAsia="仿宋" w:cs="仿宋"/>
          <w:spacing w:val="3"/>
          <w:sz w:val="31"/>
          <w:szCs w:val="31"/>
        </w:rPr>
        <w:t>产资源规划纲性约束作用，县（</w:t>
      </w:r>
      <w:r>
        <w:rPr>
          <w:rFonts w:ascii="仿宋" w:hAnsi="仿宋" w:eastAsia="仿宋" w:cs="仿宋"/>
          <w:spacing w:val="-81"/>
          <w:sz w:val="31"/>
          <w:szCs w:val="31"/>
        </w:rPr>
        <w:t xml:space="preserve"> </w:t>
      </w:r>
      <w:r>
        <w:rPr>
          <w:rFonts w:ascii="仿宋" w:hAnsi="仿宋" w:eastAsia="仿宋" w:cs="仿宋"/>
          <w:spacing w:val="3"/>
          <w:sz w:val="31"/>
          <w:szCs w:val="31"/>
        </w:rPr>
        <w:t>市）逐级落实《规划》</w:t>
      </w:r>
      <w:r>
        <w:rPr>
          <w:rFonts w:ascii="仿宋" w:hAnsi="仿宋" w:eastAsia="仿宋" w:cs="仿宋"/>
          <w:spacing w:val="-74"/>
          <w:sz w:val="31"/>
          <w:szCs w:val="31"/>
        </w:rPr>
        <w:t xml:space="preserve"> </w:t>
      </w:r>
      <w:r>
        <w:rPr>
          <w:rFonts w:ascii="仿宋" w:hAnsi="仿宋" w:eastAsia="仿宋" w:cs="仿宋"/>
          <w:spacing w:val="3"/>
          <w:sz w:val="31"/>
          <w:szCs w:val="31"/>
        </w:rPr>
        <w:t>目标</w:t>
      </w:r>
      <w:r>
        <w:rPr>
          <w:rFonts w:ascii="仿宋" w:hAnsi="仿宋" w:eastAsia="仿宋" w:cs="仿宋"/>
          <w:spacing w:val="9"/>
          <w:sz w:val="31"/>
          <w:szCs w:val="31"/>
        </w:rPr>
        <w:t>和任务，原则上各级矿产资源规划经政府发布第一年不再进</w:t>
      </w:r>
      <w:r>
        <w:rPr>
          <w:rFonts w:ascii="仿宋" w:hAnsi="仿宋" w:eastAsia="仿宋" w:cs="仿宋"/>
          <w:spacing w:val="6"/>
          <w:sz w:val="31"/>
          <w:szCs w:val="31"/>
        </w:rPr>
        <w:t>行调整，后期需要调整的每县（</w:t>
      </w:r>
      <w:r>
        <w:rPr>
          <w:rFonts w:ascii="仿宋" w:hAnsi="仿宋" w:eastAsia="仿宋" w:cs="仿宋"/>
          <w:spacing w:val="-78"/>
          <w:sz w:val="31"/>
          <w:szCs w:val="31"/>
        </w:rPr>
        <w:t xml:space="preserve"> </w:t>
      </w:r>
      <w:r>
        <w:rPr>
          <w:rFonts w:ascii="仿宋" w:hAnsi="仿宋" w:eastAsia="仿宋" w:cs="仿宋"/>
          <w:spacing w:val="6"/>
          <w:sz w:val="31"/>
          <w:szCs w:val="31"/>
        </w:rPr>
        <w:t>市）一年最多调整一次，且需充分说明理由，报原审批机关批准。州、县（</w:t>
      </w:r>
      <w:r>
        <w:rPr>
          <w:rFonts w:ascii="仿宋" w:hAnsi="仿宋" w:eastAsia="仿宋" w:cs="仿宋"/>
          <w:spacing w:val="-78"/>
          <w:sz w:val="31"/>
          <w:szCs w:val="31"/>
        </w:rPr>
        <w:t xml:space="preserve"> </w:t>
      </w:r>
      <w:r>
        <w:rPr>
          <w:rFonts w:ascii="仿宋" w:hAnsi="仿宋" w:eastAsia="仿宋" w:cs="仿宋"/>
          <w:spacing w:val="6"/>
          <w:sz w:val="31"/>
          <w:szCs w:val="31"/>
        </w:rPr>
        <w:t>市）人民政</w:t>
      </w:r>
      <w:r>
        <w:rPr>
          <w:rFonts w:ascii="仿宋" w:hAnsi="仿宋" w:eastAsia="仿宋" w:cs="仿宋"/>
          <w:spacing w:val="1"/>
          <w:sz w:val="31"/>
          <w:szCs w:val="31"/>
        </w:rPr>
        <w:t>府要健全集体决策机制，</w:t>
      </w:r>
      <w:r>
        <w:rPr>
          <w:rFonts w:ascii="仿宋" w:hAnsi="仿宋" w:eastAsia="仿宋" w:cs="仿宋"/>
          <w:spacing w:val="-78"/>
          <w:sz w:val="31"/>
          <w:szCs w:val="31"/>
        </w:rPr>
        <w:t xml:space="preserve"> </w:t>
      </w:r>
      <w:r>
        <w:rPr>
          <w:rFonts w:ascii="仿宋" w:hAnsi="仿宋" w:eastAsia="仿宋" w:cs="仿宋"/>
          <w:spacing w:val="1"/>
          <w:sz w:val="31"/>
          <w:szCs w:val="31"/>
        </w:rPr>
        <w:t>以矿产资源规划为依据，科学决定</w:t>
      </w:r>
      <w:r>
        <w:rPr>
          <w:rFonts w:ascii="仿宋" w:hAnsi="仿宋" w:eastAsia="仿宋" w:cs="仿宋"/>
          <w:spacing w:val="-1"/>
          <w:sz w:val="31"/>
          <w:szCs w:val="31"/>
        </w:rPr>
        <w:t>矿产资源勘查开发和矿区生态修复中的重大事项。</w:t>
      </w:r>
    </w:p>
    <w:p w14:paraId="3266BF02">
      <w:pPr>
        <w:spacing w:line="226" w:lineRule="auto"/>
        <w:ind w:left="670"/>
        <w:rPr>
          <w:rFonts w:ascii="黑体" w:hAnsi="黑体" w:eastAsia="黑体" w:cs="黑体"/>
          <w:sz w:val="31"/>
          <w:szCs w:val="31"/>
        </w:rPr>
      </w:pPr>
      <w:r>
        <w:rPr>
          <w:rFonts w:ascii="黑体" w:hAnsi="黑体" w:eastAsia="黑体" w:cs="黑体"/>
          <w:spacing w:val="7"/>
          <w:sz w:val="31"/>
          <w:szCs w:val="31"/>
        </w:rPr>
        <w:t>三、健全规划实施评估机制</w:t>
      </w:r>
    </w:p>
    <w:p w14:paraId="43711155">
      <w:pPr>
        <w:spacing w:before="244" w:line="372" w:lineRule="auto"/>
        <w:ind w:left="21" w:right="16" w:firstLine="660"/>
        <w:jc w:val="both"/>
        <w:rPr>
          <w:rFonts w:ascii="仿宋" w:hAnsi="仿宋" w:eastAsia="仿宋" w:cs="仿宋"/>
          <w:sz w:val="31"/>
          <w:szCs w:val="31"/>
        </w:rPr>
      </w:pPr>
      <w:r>
        <w:rPr>
          <w:rFonts w:ascii="仿宋" w:hAnsi="仿宋" w:eastAsia="仿宋" w:cs="仿宋"/>
          <w:spacing w:val="22"/>
          <w:sz w:val="31"/>
          <w:szCs w:val="31"/>
        </w:rPr>
        <w:t>落实省级规划提出的规划年度检查与阶段性评</w:t>
      </w:r>
      <w:r>
        <w:rPr>
          <w:rFonts w:ascii="仿宋" w:hAnsi="仿宋" w:eastAsia="仿宋" w:cs="仿宋"/>
          <w:spacing w:val="21"/>
          <w:sz w:val="31"/>
          <w:szCs w:val="31"/>
        </w:rPr>
        <w:t>估机制</w:t>
      </w:r>
      <w:r>
        <w:rPr>
          <w:rFonts w:ascii="仿宋" w:hAnsi="仿宋" w:eastAsia="仿宋" w:cs="仿宋"/>
          <w:spacing w:val="9"/>
          <w:sz w:val="31"/>
          <w:szCs w:val="31"/>
        </w:rPr>
        <w:t>等制度，对《规划》年度目标任务执行情况和政策落实情况</w:t>
      </w:r>
      <w:r>
        <w:rPr>
          <w:rFonts w:ascii="仿宋" w:hAnsi="仿宋" w:eastAsia="仿宋" w:cs="仿宋"/>
          <w:spacing w:val="6"/>
          <w:sz w:val="31"/>
          <w:szCs w:val="31"/>
        </w:rPr>
        <w:t>进行检查，提出规划执行情况报告。</w:t>
      </w:r>
      <w:r>
        <w:rPr>
          <w:rFonts w:ascii="仿宋" w:hAnsi="仿宋" w:eastAsia="仿宋" w:cs="仿宋"/>
          <w:spacing w:val="-78"/>
          <w:sz w:val="31"/>
          <w:szCs w:val="31"/>
        </w:rPr>
        <w:t xml:space="preserve"> </w:t>
      </w:r>
      <w:r>
        <w:rPr>
          <w:rFonts w:ascii="仿宋" w:hAnsi="仿宋" w:eastAsia="仿宋" w:cs="仿宋"/>
          <w:spacing w:val="6"/>
          <w:sz w:val="31"/>
          <w:szCs w:val="31"/>
        </w:rPr>
        <w:t>阶段性评估时间按照上</w:t>
      </w:r>
    </w:p>
    <w:p w14:paraId="71298EF5">
      <w:pPr>
        <w:spacing w:line="372" w:lineRule="auto"/>
        <w:rPr>
          <w:rFonts w:ascii="仿宋" w:hAnsi="仿宋" w:eastAsia="仿宋" w:cs="仿宋"/>
          <w:sz w:val="31"/>
          <w:szCs w:val="31"/>
        </w:rPr>
        <w:sectPr>
          <w:footerReference r:id="rId49" w:type="default"/>
          <w:pgSz w:w="11904" w:h="16835"/>
          <w:pgMar w:top="1430" w:right="1785" w:bottom="1289" w:left="1785" w:header="0" w:footer="923" w:gutter="0"/>
          <w:cols w:space="720" w:num="1"/>
        </w:sectPr>
      </w:pPr>
    </w:p>
    <w:p w14:paraId="032489C3">
      <w:pPr>
        <w:spacing w:before="139" w:line="371" w:lineRule="auto"/>
        <w:ind w:left="20" w:firstLine="14"/>
        <w:rPr>
          <w:rFonts w:ascii="仿宋" w:hAnsi="仿宋" w:eastAsia="仿宋" w:cs="仿宋"/>
          <w:sz w:val="31"/>
          <w:szCs w:val="31"/>
        </w:rPr>
      </w:pPr>
      <w:r>
        <w:rPr>
          <w:rFonts w:ascii="仿宋" w:hAnsi="仿宋" w:eastAsia="仿宋" w:cs="仿宋"/>
          <w:spacing w:val="10"/>
          <w:sz w:val="31"/>
          <w:szCs w:val="31"/>
        </w:rPr>
        <w:t>级工作统筹部署。主要内容包括《规划》实施进展</w:t>
      </w:r>
      <w:r>
        <w:rPr>
          <w:rFonts w:ascii="仿宋" w:hAnsi="仿宋" w:eastAsia="仿宋" w:cs="仿宋"/>
          <w:spacing w:val="9"/>
          <w:sz w:val="31"/>
          <w:szCs w:val="31"/>
        </w:rPr>
        <w:t>与成效、</w:t>
      </w:r>
      <w:r>
        <w:rPr>
          <w:rFonts w:ascii="仿宋" w:hAnsi="仿宋" w:eastAsia="仿宋" w:cs="仿宋"/>
          <w:spacing w:val="-1"/>
          <w:sz w:val="31"/>
          <w:szCs w:val="31"/>
        </w:rPr>
        <w:t>各项任务执行情况、指标完成情况、各项政策措施落实情况、</w:t>
      </w:r>
      <w:r>
        <w:rPr>
          <w:rFonts w:ascii="仿宋" w:hAnsi="仿宋" w:eastAsia="仿宋" w:cs="仿宋"/>
          <w:spacing w:val="9"/>
          <w:sz w:val="31"/>
          <w:szCs w:val="31"/>
        </w:rPr>
        <w:t>取得的经验等，分析规划实施中存在的问题及原因、面临的新形势，提出规划调整的建议。检查和评估情况要及时向同</w:t>
      </w:r>
      <w:r>
        <w:rPr>
          <w:rFonts w:ascii="仿宋" w:hAnsi="仿宋" w:eastAsia="仿宋" w:cs="仿宋"/>
          <w:spacing w:val="8"/>
          <w:sz w:val="31"/>
          <w:szCs w:val="31"/>
        </w:rPr>
        <w:t>级人民政府和上级主管部门报告检查评估情况。</w:t>
      </w:r>
    </w:p>
    <w:p w14:paraId="20ADEB4E">
      <w:pPr>
        <w:spacing w:before="1" w:line="224" w:lineRule="auto"/>
        <w:ind w:left="683"/>
        <w:rPr>
          <w:rFonts w:ascii="黑体" w:hAnsi="黑体" w:eastAsia="黑体" w:cs="黑体"/>
          <w:sz w:val="31"/>
          <w:szCs w:val="31"/>
        </w:rPr>
      </w:pPr>
      <w:r>
        <w:rPr>
          <w:rFonts w:ascii="黑体" w:hAnsi="黑体" w:eastAsia="黑体" w:cs="黑体"/>
          <w:spacing w:val="6"/>
          <w:sz w:val="31"/>
          <w:szCs w:val="31"/>
        </w:rPr>
        <w:t>四、强化规划实施监督检查</w:t>
      </w:r>
    </w:p>
    <w:p w14:paraId="0B3D774B">
      <w:pPr>
        <w:spacing w:before="251" w:line="371" w:lineRule="auto"/>
        <w:ind w:left="21" w:right="48" w:firstLine="646"/>
        <w:jc w:val="both"/>
        <w:rPr>
          <w:rFonts w:ascii="仿宋" w:hAnsi="仿宋" w:eastAsia="仿宋" w:cs="仿宋"/>
          <w:sz w:val="31"/>
          <w:szCs w:val="31"/>
        </w:rPr>
      </w:pPr>
      <w:r>
        <w:rPr>
          <w:rFonts w:ascii="仿宋" w:hAnsi="仿宋" w:eastAsia="仿宋" w:cs="仿宋"/>
          <w:spacing w:val="8"/>
          <w:sz w:val="31"/>
          <w:szCs w:val="31"/>
        </w:rPr>
        <w:t>将规划执行情况纳入自然资源执法监察的重要内容，强</w:t>
      </w:r>
      <w:r>
        <w:rPr>
          <w:rFonts w:ascii="仿宋" w:hAnsi="仿宋" w:eastAsia="仿宋" w:cs="仿宋"/>
          <w:spacing w:val="9"/>
          <w:sz w:val="31"/>
          <w:szCs w:val="31"/>
        </w:rPr>
        <w:t>化对规划确定的重点区域、重要任务和指标、重大工程和项目、重大政策措施执行落实情况监督，定期公布规划执行情况。对违反法律法规和矿产资源规划的行为，要加大纠正和</w:t>
      </w:r>
      <w:r>
        <w:rPr>
          <w:rFonts w:ascii="仿宋" w:hAnsi="仿宋" w:eastAsia="仿宋" w:cs="仿宋"/>
          <w:spacing w:val="6"/>
          <w:sz w:val="31"/>
          <w:szCs w:val="31"/>
        </w:rPr>
        <w:t>查处力度。构建地方人大、政府、</w:t>
      </w:r>
      <w:r>
        <w:rPr>
          <w:rFonts w:ascii="仿宋" w:hAnsi="仿宋" w:eastAsia="仿宋" w:cs="仿宋"/>
          <w:spacing w:val="-74"/>
          <w:sz w:val="31"/>
          <w:szCs w:val="31"/>
        </w:rPr>
        <w:t xml:space="preserve"> </w:t>
      </w:r>
      <w:r>
        <w:rPr>
          <w:rFonts w:ascii="仿宋" w:hAnsi="仿宋" w:eastAsia="仿宋" w:cs="仿宋"/>
          <w:spacing w:val="6"/>
          <w:sz w:val="31"/>
          <w:szCs w:val="31"/>
        </w:rPr>
        <w:t>自然资源等管理</w:t>
      </w:r>
      <w:r>
        <w:rPr>
          <w:rFonts w:ascii="仿宋" w:hAnsi="仿宋" w:eastAsia="仿宋" w:cs="仿宋"/>
          <w:spacing w:val="5"/>
          <w:sz w:val="31"/>
          <w:szCs w:val="31"/>
        </w:rPr>
        <w:t>部门和公</w:t>
      </w:r>
      <w:r>
        <w:rPr>
          <w:rFonts w:ascii="仿宋" w:hAnsi="仿宋" w:eastAsia="仿宋" w:cs="仿宋"/>
          <w:spacing w:val="8"/>
          <w:sz w:val="31"/>
          <w:szCs w:val="31"/>
        </w:rPr>
        <w:t>众共同参与的规划实施监督体系。</w:t>
      </w:r>
    </w:p>
    <w:p w14:paraId="7CDC89F1">
      <w:pPr>
        <w:spacing w:before="1" w:line="225" w:lineRule="auto"/>
        <w:ind w:left="673"/>
        <w:rPr>
          <w:rFonts w:ascii="黑体" w:hAnsi="黑体" w:eastAsia="黑体" w:cs="黑体"/>
          <w:sz w:val="31"/>
          <w:szCs w:val="31"/>
        </w:rPr>
      </w:pPr>
      <w:r>
        <w:rPr>
          <w:rFonts w:ascii="黑体" w:hAnsi="黑体" w:eastAsia="黑体" w:cs="黑体"/>
          <w:spacing w:val="7"/>
          <w:sz w:val="31"/>
          <w:szCs w:val="31"/>
        </w:rPr>
        <w:t>五、提高财政支持力度</w:t>
      </w:r>
    </w:p>
    <w:p w14:paraId="33356BB1">
      <w:pPr>
        <w:spacing w:before="241" w:line="372" w:lineRule="auto"/>
        <w:ind w:left="17" w:right="48" w:firstLine="645"/>
        <w:jc w:val="both"/>
        <w:rPr>
          <w:rFonts w:ascii="仿宋" w:hAnsi="仿宋" w:eastAsia="仿宋" w:cs="仿宋"/>
          <w:sz w:val="31"/>
          <w:szCs w:val="31"/>
        </w:rPr>
      </w:pPr>
      <w:r>
        <w:rPr>
          <w:rFonts w:ascii="仿宋" w:hAnsi="仿宋" w:eastAsia="仿宋" w:cs="仿宋"/>
          <w:spacing w:val="9"/>
          <w:sz w:val="31"/>
          <w:szCs w:val="31"/>
        </w:rPr>
        <w:t>各级政府部门要做好财政对规划实施所需的</w:t>
      </w:r>
      <w:r>
        <w:rPr>
          <w:rFonts w:ascii="仿宋" w:hAnsi="仿宋" w:eastAsia="仿宋" w:cs="仿宋"/>
          <w:spacing w:val="8"/>
          <w:sz w:val="31"/>
          <w:szCs w:val="31"/>
        </w:rPr>
        <w:t>资金保障，</w:t>
      </w:r>
      <w:r>
        <w:rPr>
          <w:rFonts w:ascii="仿宋" w:hAnsi="仿宋" w:eastAsia="仿宋" w:cs="仿宋"/>
          <w:spacing w:val="9"/>
          <w:sz w:val="31"/>
          <w:szCs w:val="31"/>
        </w:rPr>
        <w:t>积极引导社会资金参与。州、县两级财政部门要会同自然资源局，按照自然资源领域省与州县财政事权和支出责任划分相关要求，保障全州历史遗留矿山生态修复、矿产资源节约集约利用、矿产资源储量和地质资料管理、绿色矿山建设等工作开展。加强重大项目实施领导和组织协调，推进项目顺</w:t>
      </w:r>
      <w:r>
        <w:rPr>
          <w:rFonts w:ascii="仿宋" w:hAnsi="仿宋" w:eastAsia="仿宋" w:cs="仿宋"/>
          <w:spacing w:val="8"/>
          <w:sz w:val="31"/>
          <w:szCs w:val="31"/>
        </w:rPr>
        <w:t>利实施，保障规划落地见效。</w:t>
      </w:r>
    </w:p>
    <w:p w14:paraId="6C969280">
      <w:pPr>
        <w:spacing w:line="372" w:lineRule="auto"/>
        <w:rPr>
          <w:rFonts w:ascii="仿宋" w:hAnsi="仿宋" w:eastAsia="仿宋" w:cs="仿宋"/>
          <w:sz w:val="31"/>
          <w:szCs w:val="31"/>
        </w:rPr>
        <w:sectPr>
          <w:footerReference r:id="rId50" w:type="default"/>
          <w:pgSz w:w="11904" w:h="16835"/>
          <w:pgMar w:top="1430" w:right="1753" w:bottom="1289" w:left="1785" w:header="0" w:footer="920" w:gutter="0"/>
          <w:cols w:space="720" w:num="1"/>
        </w:sectPr>
      </w:pPr>
    </w:p>
    <w:p w14:paraId="104341FA">
      <w:pPr>
        <w:pStyle w:val="2"/>
        <w:spacing w:line="269" w:lineRule="auto"/>
      </w:pPr>
    </w:p>
    <w:p w14:paraId="2D5B3965">
      <w:pPr>
        <w:pStyle w:val="2"/>
        <w:spacing w:line="269" w:lineRule="auto"/>
      </w:pPr>
    </w:p>
    <w:p w14:paraId="00EAE984">
      <w:pPr>
        <w:pStyle w:val="2"/>
        <w:spacing w:line="270" w:lineRule="auto"/>
      </w:pPr>
    </w:p>
    <w:p w14:paraId="3F5517B7">
      <w:pPr>
        <w:pStyle w:val="2"/>
        <w:spacing w:before="100" w:line="225" w:lineRule="auto"/>
        <w:ind w:left="783"/>
        <w:outlineLvl w:val="0"/>
        <w:rPr>
          <w:rFonts w:ascii="黑体" w:hAnsi="黑体" w:eastAsia="黑体" w:cs="黑体"/>
          <w:sz w:val="31"/>
          <w:szCs w:val="31"/>
        </w:rPr>
      </w:pPr>
      <w:r>
        <w:rPr>
          <w:rFonts w:ascii="黑体" w:hAnsi="黑体" w:eastAsia="黑体" w:cs="黑体"/>
          <w:spacing w:val="3"/>
          <w:sz w:val="31"/>
          <w:szCs w:val="31"/>
        </w:rPr>
        <w:t>附表</w:t>
      </w:r>
      <w:r>
        <w:rPr>
          <w:rFonts w:ascii="黑体" w:hAnsi="黑体" w:eastAsia="黑体" w:cs="黑体"/>
          <w:spacing w:val="-28"/>
          <w:sz w:val="31"/>
          <w:szCs w:val="31"/>
        </w:rPr>
        <w:t xml:space="preserve"> </w:t>
      </w:r>
      <w:r>
        <w:rPr>
          <w:spacing w:val="3"/>
          <w:sz w:val="31"/>
          <w:szCs w:val="31"/>
        </w:rPr>
        <w:t>1</w:t>
      </w:r>
      <w:r>
        <w:rPr>
          <w:spacing w:val="1"/>
          <w:sz w:val="31"/>
          <w:szCs w:val="31"/>
        </w:rPr>
        <w:t xml:space="preserve">    </w:t>
      </w:r>
      <w:r>
        <w:rPr>
          <w:rFonts w:ascii="黑体" w:hAnsi="黑体" w:eastAsia="黑体" w:cs="黑体"/>
          <w:spacing w:val="3"/>
          <w:sz w:val="31"/>
          <w:szCs w:val="31"/>
        </w:rPr>
        <w:t>阿坝州能源资源基地表</w:t>
      </w:r>
    </w:p>
    <w:p w14:paraId="620AD0B1">
      <w:pPr>
        <w:spacing w:line="120" w:lineRule="exact"/>
      </w:pPr>
    </w:p>
    <w:tbl>
      <w:tblPr>
        <w:tblStyle w:val="5"/>
        <w:tblW w:w="14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7"/>
        <w:gridCol w:w="504"/>
        <w:gridCol w:w="523"/>
        <w:gridCol w:w="830"/>
        <w:gridCol w:w="609"/>
        <w:gridCol w:w="643"/>
        <w:gridCol w:w="5224"/>
        <w:gridCol w:w="969"/>
        <w:gridCol w:w="959"/>
        <w:gridCol w:w="983"/>
        <w:gridCol w:w="1708"/>
        <w:gridCol w:w="796"/>
      </w:tblGrid>
      <w:tr w14:paraId="19FCB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427" w:type="dxa"/>
            <w:textDirection w:val="tbRlV"/>
            <w:vAlign w:val="top"/>
          </w:tcPr>
          <w:p w14:paraId="33D164A8">
            <w:pPr>
              <w:spacing w:before="110" w:line="211" w:lineRule="auto"/>
              <w:ind w:left="130"/>
              <w:rPr>
                <w:rFonts w:ascii="黑体" w:hAnsi="黑体" w:eastAsia="黑体" w:cs="黑体"/>
                <w:sz w:val="18"/>
                <w:szCs w:val="18"/>
              </w:rPr>
            </w:pPr>
            <w:r>
              <w:rPr>
                <w:rFonts w:ascii="黑体" w:hAnsi="黑体" w:eastAsia="黑体" w:cs="黑体"/>
                <w:spacing w:val="5"/>
                <w:sz w:val="18"/>
                <w:szCs w:val="18"/>
              </w:rPr>
              <w:t>序   号</w:t>
            </w:r>
          </w:p>
        </w:tc>
        <w:tc>
          <w:tcPr>
            <w:tcW w:w="504" w:type="dxa"/>
            <w:textDirection w:val="tbRlV"/>
            <w:vAlign w:val="top"/>
          </w:tcPr>
          <w:p w14:paraId="5A2CD955">
            <w:pPr>
              <w:spacing w:before="153" w:line="210" w:lineRule="auto"/>
              <w:ind w:left="130"/>
              <w:rPr>
                <w:rFonts w:ascii="黑体" w:hAnsi="黑体" w:eastAsia="黑体" w:cs="黑体"/>
                <w:sz w:val="18"/>
                <w:szCs w:val="18"/>
              </w:rPr>
            </w:pPr>
            <w:r>
              <w:rPr>
                <w:rFonts w:ascii="黑体" w:hAnsi="黑体" w:eastAsia="黑体" w:cs="黑体"/>
                <w:spacing w:val="5"/>
                <w:sz w:val="18"/>
                <w:szCs w:val="18"/>
              </w:rPr>
              <w:t>编   号</w:t>
            </w:r>
          </w:p>
        </w:tc>
        <w:tc>
          <w:tcPr>
            <w:tcW w:w="523" w:type="dxa"/>
            <w:textDirection w:val="tbRlV"/>
            <w:vAlign w:val="top"/>
          </w:tcPr>
          <w:p w14:paraId="2784E0BE">
            <w:pPr>
              <w:spacing w:before="158" w:line="209" w:lineRule="auto"/>
              <w:ind w:left="130"/>
              <w:rPr>
                <w:rFonts w:ascii="黑体" w:hAnsi="黑体" w:eastAsia="黑体" w:cs="黑体"/>
                <w:sz w:val="18"/>
                <w:szCs w:val="18"/>
              </w:rPr>
            </w:pPr>
            <w:r>
              <w:rPr>
                <w:rFonts w:ascii="黑体" w:hAnsi="黑体" w:eastAsia="黑体" w:cs="黑体"/>
                <w:spacing w:val="5"/>
                <w:sz w:val="18"/>
                <w:szCs w:val="18"/>
              </w:rPr>
              <w:t>名   称</w:t>
            </w:r>
          </w:p>
        </w:tc>
        <w:tc>
          <w:tcPr>
            <w:tcW w:w="830" w:type="dxa"/>
            <w:vAlign w:val="top"/>
          </w:tcPr>
          <w:p w14:paraId="63E1D19B">
            <w:pPr>
              <w:spacing w:before="130" w:line="412" w:lineRule="auto"/>
              <w:ind w:left="244" w:right="134" w:hanging="87"/>
              <w:rPr>
                <w:rFonts w:ascii="黑体" w:hAnsi="黑体" w:eastAsia="黑体" w:cs="黑体"/>
                <w:sz w:val="18"/>
                <w:szCs w:val="18"/>
              </w:rPr>
            </w:pPr>
            <w:r>
              <w:rPr>
                <w:rFonts w:ascii="黑体" w:hAnsi="黑体" w:eastAsia="黑体" w:cs="黑体"/>
                <w:spacing w:val="-3"/>
                <w:sz w:val="18"/>
                <w:szCs w:val="18"/>
              </w:rPr>
              <w:t>所在行</w:t>
            </w:r>
            <w:r>
              <w:rPr>
                <w:rFonts w:ascii="黑体" w:hAnsi="黑体" w:eastAsia="黑体" w:cs="黑体"/>
                <w:spacing w:val="-2"/>
                <w:sz w:val="18"/>
                <w:szCs w:val="18"/>
              </w:rPr>
              <w:t>政区</w:t>
            </w:r>
          </w:p>
        </w:tc>
        <w:tc>
          <w:tcPr>
            <w:tcW w:w="609" w:type="dxa"/>
            <w:vAlign w:val="top"/>
          </w:tcPr>
          <w:p w14:paraId="624446F8">
            <w:pPr>
              <w:spacing w:before="130" w:line="225" w:lineRule="auto"/>
              <w:ind w:left="139"/>
              <w:rPr>
                <w:rFonts w:ascii="黑体" w:hAnsi="黑体" w:eastAsia="黑体" w:cs="黑体"/>
                <w:sz w:val="18"/>
                <w:szCs w:val="18"/>
              </w:rPr>
            </w:pPr>
            <w:r>
              <w:rPr>
                <w:rFonts w:ascii="黑体" w:hAnsi="黑体" w:eastAsia="黑体" w:cs="黑体"/>
                <w:spacing w:val="-4"/>
                <w:sz w:val="18"/>
                <w:szCs w:val="18"/>
              </w:rPr>
              <w:t>主要</w:t>
            </w:r>
          </w:p>
          <w:p w14:paraId="19956CE4">
            <w:pPr>
              <w:spacing w:before="251" w:line="223" w:lineRule="auto"/>
              <w:ind w:left="135"/>
              <w:rPr>
                <w:rFonts w:ascii="黑体" w:hAnsi="黑体" w:eastAsia="黑体" w:cs="黑体"/>
                <w:sz w:val="18"/>
                <w:szCs w:val="18"/>
              </w:rPr>
            </w:pPr>
            <w:r>
              <w:rPr>
                <w:rFonts w:ascii="黑体" w:hAnsi="黑体" w:eastAsia="黑体" w:cs="黑体"/>
                <w:spacing w:val="-2"/>
                <w:sz w:val="18"/>
                <w:szCs w:val="18"/>
              </w:rPr>
              <w:t>矿种</w:t>
            </w:r>
          </w:p>
        </w:tc>
        <w:tc>
          <w:tcPr>
            <w:tcW w:w="643" w:type="dxa"/>
            <w:vAlign w:val="top"/>
          </w:tcPr>
          <w:p w14:paraId="6A5D96EA">
            <w:pPr>
              <w:spacing w:before="130" w:line="412" w:lineRule="auto"/>
              <w:ind w:left="166" w:right="109" w:hanging="10"/>
              <w:rPr>
                <w:rFonts w:ascii="黑体" w:hAnsi="黑体" w:eastAsia="黑体" w:cs="黑体"/>
                <w:sz w:val="18"/>
                <w:szCs w:val="18"/>
              </w:rPr>
            </w:pPr>
            <w:r>
              <w:rPr>
                <w:rFonts w:ascii="黑体" w:hAnsi="黑体" w:eastAsia="黑体" w:cs="黑体"/>
                <w:spacing w:val="-4"/>
                <w:sz w:val="18"/>
                <w:szCs w:val="18"/>
              </w:rPr>
              <w:t>面积</w:t>
            </w:r>
            <w:r>
              <w:rPr>
                <w:rFonts w:ascii="黑体" w:hAnsi="黑体" w:eastAsia="黑体" w:cs="黑体"/>
                <w:spacing w:val="-9"/>
                <w:w w:val="94"/>
                <w:sz w:val="18"/>
                <w:szCs w:val="18"/>
              </w:rPr>
              <w:t>(Km</w:t>
            </w:r>
            <w:r>
              <w:rPr>
                <w:rFonts w:ascii="黑体" w:hAnsi="黑体" w:eastAsia="黑体" w:cs="黑体"/>
                <w:spacing w:val="-1"/>
                <w:sz w:val="9"/>
                <w:szCs w:val="9"/>
              </w:rPr>
              <w:t>2</w:t>
            </w:r>
            <w:r>
              <w:rPr>
                <w:rFonts w:ascii="黑体" w:hAnsi="黑体" w:eastAsia="黑体" w:cs="黑体"/>
                <w:spacing w:val="-1"/>
                <w:sz w:val="18"/>
                <w:szCs w:val="18"/>
              </w:rPr>
              <w:t>)</w:t>
            </w:r>
          </w:p>
        </w:tc>
        <w:tc>
          <w:tcPr>
            <w:tcW w:w="5224" w:type="dxa"/>
            <w:vAlign w:val="top"/>
          </w:tcPr>
          <w:p w14:paraId="543996FD">
            <w:pPr>
              <w:spacing w:line="305" w:lineRule="auto"/>
              <w:rPr>
                <w:rFonts w:ascii="Arial"/>
                <w:sz w:val="21"/>
              </w:rPr>
            </w:pPr>
          </w:p>
          <w:p w14:paraId="348D2C48">
            <w:pPr>
              <w:spacing w:before="59" w:line="225" w:lineRule="auto"/>
              <w:ind w:left="2264"/>
              <w:rPr>
                <w:rFonts w:ascii="黑体" w:hAnsi="黑体" w:eastAsia="黑体" w:cs="黑体"/>
                <w:sz w:val="18"/>
                <w:szCs w:val="18"/>
              </w:rPr>
            </w:pPr>
            <w:r>
              <w:rPr>
                <w:rFonts w:ascii="黑体" w:hAnsi="黑体" w:eastAsia="黑体" w:cs="黑体"/>
                <w:spacing w:val="-1"/>
                <w:sz w:val="18"/>
                <w:szCs w:val="18"/>
              </w:rPr>
              <w:t>拐点坐标</w:t>
            </w:r>
          </w:p>
        </w:tc>
        <w:tc>
          <w:tcPr>
            <w:tcW w:w="969" w:type="dxa"/>
            <w:vAlign w:val="top"/>
          </w:tcPr>
          <w:p w14:paraId="6312831C">
            <w:pPr>
              <w:spacing w:before="130" w:line="412" w:lineRule="auto"/>
              <w:ind w:left="223" w:right="112" w:hanging="73"/>
              <w:rPr>
                <w:rFonts w:ascii="黑体" w:hAnsi="黑体" w:eastAsia="黑体" w:cs="黑体"/>
                <w:sz w:val="18"/>
                <w:szCs w:val="18"/>
              </w:rPr>
            </w:pPr>
            <w:r>
              <w:rPr>
                <w:rFonts w:ascii="黑体" w:hAnsi="黑体" w:eastAsia="黑体" w:cs="黑体"/>
                <w:spacing w:val="-5"/>
                <w:sz w:val="18"/>
                <w:szCs w:val="18"/>
              </w:rPr>
              <w:t>已设探矿</w:t>
            </w:r>
            <w:r>
              <w:rPr>
                <w:rFonts w:ascii="黑体" w:hAnsi="黑体" w:eastAsia="黑体" w:cs="黑体"/>
                <w:spacing w:val="-1"/>
                <w:sz w:val="18"/>
                <w:szCs w:val="18"/>
              </w:rPr>
              <w:t>权数量</w:t>
            </w:r>
          </w:p>
        </w:tc>
        <w:tc>
          <w:tcPr>
            <w:tcW w:w="959" w:type="dxa"/>
            <w:vAlign w:val="top"/>
          </w:tcPr>
          <w:p w14:paraId="6B836977">
            <w:pPr>
              <w:spacing w:before="130" w:line="412" w:lineRule="auto"/>
              <w:ind w:left="223" w:right="106" w:hanging="89"/>
              <w:rPr>
                <w:rFonts w:ascii="黑体" w:hAnsi="黑体" w:eastAsia="黑体" w:cs="黑体"/>
                <w:sz w:val="18"/>
                <w:szCs w:val="18"/>
              </w:rPr>
            </w:pPr>
            <w:r>
              <w:rPr>
                <w:rFonts w:ascii="黑体" w:hAnsi="黑体" w:eastAsia="黑体" w:cs="黑体"/>
                <w:spacing w:val="-2"/>
                <w:sz w:val="18"/>
                <w:szCs w:val="18"/>
              </w:rPr>
              <w:t>拟设探矿权数量</w:t>
            </w:r>
          </w:p>
        </w:tc>
        <w:tc>
          <w:tcPr>
            <w:tcW w:w="983" w:type="dxa"/>
            <w:vAlign w:val="top"/>
          </w:tcPr>
          <w:p w14:paraId="38F5DE5A">
            <w:pPr>
              <w:spacing w:before="130" w:line="412" w:lineRule="auto"/>
              <w:ind w:left="234" w:right="115" w:hanging="78"/>
              <w:rPr>
                <w:rFonts w:ascii="黑体" w:hAnsi="黑体" w:eastAsia="黑体" w:cs="黑体"/>
                <w:sz w:val="18"/>
                <w:szCs w:val="18"/>
              </w:rPr>
            </w:pPr>
            <w:r>
              <w:rPr>
                <w:rFonts w:ascii="黑体" w:hAnsi="黑体" w:eastAsia="黑体" w:cs="黑体"/>
                <w:spacing w:val="-4"/>
                <w:sz w:val="18"/>
                <w:szCs w:val="18"/>
              </w:rPr>
              <w:t>已设采矿</w:t>
            </w:r>
            <w:r>
              <w:rPr>
                <w:rFonts w:ascii="黑体" w:hAnsi="黑体" w:eastAsia="黑体" w:cs="黑体"/>
                <w:spacing w:val="-2"/>
                <w:sz w:val="18"/>
                <w:szCs w:val="18"/>
              </w:rPr>
              <w:t>权数量</w:t>
            </w:r>
          </w:p>
        </w:tc>
        <w:tc>
          <w:tcPr>
            <w:tcW w:w="1708" w:type="dxa"/>
            <w:vAlign w:val="top"/>
          </w:tcPr>
          <w:p w14:paraId="2E9C241B">
            <w:pPr>
              <w:spacing w:before="130" w:line="412" w:lineRule="auto"/>
              <w:ind w:left="192" w:right="119" w:hanging="35"/>
              <w:rPr>
                <w:rFonts w:ascii="黑体" w:hAnsi="黑体" w:eastAsia="黑体" w:cs="黑体"/>
                <w:sz w:val="18"/>
                <w:szCs w:val="18"/>
              </w:rPr>
            </w:pPr>
            <w:r>
              <w:rPr>
                <w:rFonts w:ascii="黑体" w:hAnsi="黑体" w:eastAsia="黑体" w:cs="黑体"/>
                <w:spacing w:val="-2"/>
                <w:sz w:val="18"/>
                <w:szCs w:val="18"/>
              </w:rPr>
              <w:t>已设采矿权设计开</w:t>
            </w:r>
            <w:r>
              <w:rPr>
                <w:rFonts w:ascii="黑体" w:hAnsi="黑体" w:eastAsia="黑体" w:cs="黑体"/>
                <w:spacing w:val="-1"/>
                <w:sz w:val="18"/>
                <w:szCs w:val="18"/>
              </w:rPr>
              <w:t>采规模(万吨/年)</w:t>
            </w:r>
          </w:p>
        </w:tc>
        <w:tc>
          <w:tcPr>
            <w:tcW w:w="796" w:type="dxa"/>
            <w:vAlign w:val="top"/>
          </w:tcPr>
          <w:p w14:paraId="1A56F52A">
            <w:pPr>
              <w:spacing w:line="305" w:lineRule="auto"/>
              <w:rPr>
                <w:rFonts w:ascii="Arial"/>
                <w:sz w:val="21"/>
              </w:rPr>
            </w:pPr>
          </w:p>
          <w:p w14:paraId="1C5D40B0">
            <w:pPr>
              <w:spacing w:before="58" w:line="224" w:lineRule="auto"/>
              <w:ind w:left="232"/>
              <w:rPr>
                <w:rFonts w:ascii="黑体" w:hAnsi="黑体" w:eastAsia="黑体" w:cs="黑体"/>
                <w:sz w:val="18"/>
                <w:szCs w:val="18"/>
              </w:rPr>
            </w:pPr>
            <w:r>
              <w:rPr>
                <w:rFonts w:ascii="黑体" w:hAnsi="黑体" w:eastAsia="黑体" w:cs="黑体"/>
                <w:spacing w:val="-3"/>
                <w:sz w:val="18"/>
                <w:szCs w:val="18"/>
              </w:rPr>
              <w:t>备注</w:t>
            </w:r>
          </w:p>
        </w:tc>
      </w:tr>
      <w:tr w14:paraId="07498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9" w:hRule="atLeast"/>
        </w:trPr>
        <w:tc>
          <w:tcPr>
            <w:tcW w:w="427" w:type="dxa"/>
            <w:vAlign w:val="top"/>
          </w:tcPr>
          <w:p w14:paraId="77195283">
            <w:pPr>
              <w:spacing w:line="278" w:lineRule="auto"/>
              <w:rPr>
                <w:rFonts w:ascii="Arial"/>
                <w:sz w:val="21"/>
              </w:rPr>
            </w:pPr>
          </w:p>
          <w:p w14:paraId="25D2271A">
            <w:pPr>
              <w:spacing w:line="278" w:lineRule="auto"/>
              <w:rPr>
                <w:rFonts w:ascii="Arial"/>
                <w:sz w:val="21"/>
              </w:rPr>
            </w:pPr>
          </w:p>
          <w:p w14:paraId="5D3F8C02">
            <w:pPr>
              <w:spacing w:line="278" w:lineRule="auto"/>
              <w:rPr>
                <w:rFonts w:ascii="Arial"/>
                <w:sz w:val="21"/>
              </w:rPr>
            </w:pPr>
          </w:p>
          <w:p w14:paraId="2A945E96">
            <w:pPr>
              <w:spacing w:line="279" w:lineRule="auto"/>
              <w:rPr>
                <w:rFonts w:ascii="Arial"/>
                <w:sz w:val="21"/>
              </w:rPr>
            </w:pPr>
          </w:p>
          <w:p w14:paraId="28B36E5C">
            <w:pPr>
              <w:spacing w:line="279" w:lineRule="auto"/>
              <w:rPr>
                <w:rFonts w:ascii="Arial"/>
                <w:sz w:val="21"/>
              </w:rPr>
            </w:pPr>
          </w:p>
          <w:p w14:paraId="41B02713">
            <w:pPr>
              <w:spacing w:line="279" w:lineRule="auto"/>
              <w:rPr>
                <w:rFonts w:ascii="Arial"/>
                <w:sz w:val="21"/>
              </w:rPr>
            </w:pPr>
          </w:p>
          <w:p w14:paraId="3A6E65B4">
            <w:pPr>
              <w:spacing w:before="58" w:line="238" w:lineRule="exact"/>
              <w:ind w:left="191"/>
              <w:rPr>
                <w:rFonts w:ascii="楷体" w:hAnsi="楷体" w:eastAsia="楷体" w:cs="楷体"/>
                <w:sz w:val="18"/>
                <w:szCs w:val="18"/>
              </w:rPr>
            </w:pPr>
            <w:r>
              <w:rPr>
                <w:rFonts w:ascii="楷体" w:hAnsi="楷体" w:eastAsia="楷体" w:cs="楷体"/>
                <w:position w:val="1"/>
                <w:sz w:val="18"/>
                <w:szCs w:val="18"/>
              </w:rPr>
              <w:t>1</w:t>
            </w:r>
          </w:p>
        </w:tc>
        <w:tc>
          <w:tcPr>
            <w:tcW w:w="504" w:type="dxa"/>
            <w:vAlign w:val="top"/>
          </w:tcPr>
          <w:p w14:paraId="27213664">
            <w:pPr>
              <w:spacing w:line="255" w:lineRule="auto"/>
              <w:rPr>
                <w:rFonts w:ascii="Arial"/>
                <w:sz w:val="21"/>
              </w:rPr>
            </w:pPr>
          </w:p>
          <w:p w14:paraId="62B056FF">
            <w:pPr>
              <w:spacing w:line="255" w:lineRule="auto"/>
              <w:rPr>
                <w:rFonts w:ascii="Arial"/>
                <w:sz w:val="21"/>
              </w:rPr>
            </w:pPr>
          </w:p>
          <w:p w14:paraId="5EDD761A">
            <w:pPr>
              <w:spacing w:line="255" w:lineRule="auto"/>
              <w:rPr>
                <w:rFonts w:ascii="Arial"/>
                <w:sz w:val="21"/>
              </w:rPr>
            </w:pPr>
          </w:p>
          <w:p w14:paraId="0B0AF4D4">
            <w:pPr>
              <w:spacing w:line="256" w:lineRule="auto"/>
              <w:rPr>
                <w:rFonts w:ascii="Arial"/>
                <w:sz w:val="21"/>
              </w:rPr>
            </w:pPr>
          </w:p>
          <w:p w14:paraId="55AEDB25">
            <w:pPr>
              <w:spacing w:line="256" w:lineRule="auto"/>
              <w:rPr>
                <w:rFonts w:ascii="Arial"/>
                <w:sz w:val="21"/>
              </w:rPr>
            </w:pPr>
          </w:p>
          <w:p w14:paraId="1F5ADB04">
            <w:pPr>
              <w:spacing w:line="256" w:lineRule="auto"/>
              <w:rPr>
                <w:rFonts w:ascii="Arial"/>
                <w:sz w:val="21"/>
              </w:rPr>
            </w:pPr>
          </w:p>
          <w:p w14:paraId="5728A5E3">
            <w:pPr>
              <w:spacing w:before="58" w:line="239" w:lineRule="auto"/>
              <w:ind w:left="126"/>
              <w:rPr>
                <w:rFonts w:ascii="楷体" w:hAnsi="楷体" w:eastAsia="楷体" w:cs="楷体"/>
                <w:sz w:val="18"/>
                <w:szCs w:val="18"/>
              </w:rPr>
            </w:pPr>
            <w:r>
              <w:rPr>
                <w:rFonts w:ascii="楷体" w:hAnsi="楷体" w:eastAsia="楷体" w:cs="楷体"/>
                <w:spacing w:val="-2"/>
                <w:sz w:val="18"/>
                <w:szCs w:val="18"/>
              </w:rPr>
              <w:t>NY0</w:t>
            </w:r>
          </w:p>
          <w:p w14:paraId="3D8BC4ED">
            <w:pPr>
              <w:spacing w:before="45" w:line="239" w:lineRule="auto"/>
              <w:ind w:left="182"/>
              <w:rPr>
                <w:rFonts w:ascii="楷体" w:hAnsi="楷体" w:eastAsia="楷体" w:cs="楷体"/>
                <w:sz w:val="18"/>
                <w:szCs w:val="18"/>
              </w:rPr>
            </w:pPr>
            <w:r>
              <w:rPr>
                <w:rFonts w:ascii="楷体" w:hAnsi="楷体" w:eastAsia="楷体" w:cs="楷体"/>
                <w:spacing w:val="-9"/>
                <w:sz w:val="18"/>
                <w:szCs w:val="18"/>
              </w:rPr>
              <w:t>01</w:t>
            </w:r>
          </w:p>
        </w:tc>
        <w:tc>
          <w:tcPr>
            <w:tcW w:w="523" w:type="dxa"/>
            <w:vAlign w:val="top"/>
          </w:tcPr>
          <w:p w14:paraId="52B28D96">
            <w:pPr>
              <w:spacing w:before="95" w:line="173" w:lineRule="auto"/>
              <w:ind w:left="192"/>
              <w:rPr>
                <w:rFonts w:ascii="楷体" w:hAnsi="楷体" w:eastAsia="楷体" w:cs="楷体"/>
                <w:sz w:val="18"/>
                <w:szCs w:val="18"/>
              </w:rPr>
            </w:pPr>
            <w:r>
              <w:rPr>
                <w:rFonts w:ascii="楷体" w:hAnsi="楷体" w:eastAsia="楷体" w:cs="楷体"/>
                <w:sz w:val="18"/>
                <w:szCs w:val="18"/>
              </w:rPr>
              <w:t>四</w:t>
            </w:r>
          </w:p>
          <w:p w14:paraId="3D470565">
            <w:pPr>
              <w:spacing w:before="74" w:line="220" w:lineRule="auto"/>
              <w:ind w:left="188"/>
              <w:rPr>
                <w:rFonts w:ascii="楷体" w:hAnsi="楷体" w:eastAsia="楷体" w:cs="楷体"/>
                <w:sz w:val="18"/>
                <w:szCs w:val="18"/>
              </w:rPr>
            </w:pPr>
            <w:r>
              <w:rPr>
                <w:rFonts w:ascii="楷体" w:hAnsi="楷体" w:eastAsia="楷体" w:cs="楷体"/>
                <w:sz w:val="18"/>
                <w:szCs w:val="18"/>
              </w:rPr>
              <w:t>川</w:t>
            </w:r>
          </w:p>
          <w:p w14:paraId="1C66BB9A">
            <w:pPr>
              <w:spacing w:before="63" w:line="222" w:lineRule="auto"/>
              <w:ind w:left="190"/>
              <w:rPr>
                <w:rFonts w:ascii="楷体" w:hAnsi="楷体" w:eastAsia="楷体" w:cs="楷体"/>
                <w:sz w:val="18"/>
                <w:szCs w:val="18"/>
              </w:rPr>
            </w:pPr>
            <w:r>
              <w:rPr>
                <w:rFonts w:ascii="楷体" w:hAnsi="楷体" w:eastAsia="楷体" w:cs="楷体"/>
                <w:sz w:val="18"/>
                <w:szCs w:val="18"/>
              </w:rPr>
              <w:t>马</w:t>
            </w:r>
          </w:p>
          <w:p w14:paraId="5D918C6D">
            <w:pPr>
              <w:spacing w:before="66" w:line="225" w:lineRule="auto"/>
              <w:ind w:left="207"/>
              <w:rPr>
                <w:rFonts w:ascii="楷体" w:hAnsi="楷体" w:eastAsia="楷体" w:cs="楷体"/>
                <w:sz w:val="18"/>
                <w:szCs w:val="18"/>
              </w:rPr>
            </w:pPr>
            <w:r>
              <w:rPr>
                <w:rFonts w:ascii="楷体" w:hAnsi="楷体" w:eastAsia="楷体" w:cs="楷体"/>
                <w:sz w:val="18"/>
                <w:szCs w:val="18"/>
              </w:rPr>
              <w:t>尔</w:t>
            </w:r>
          </w:p>
          <w:p w14:paraId="329084D5">
            <w:pPr>
              <w:spacing w:before="59" w:line="221" w:lineRule="auto"/>
              <w:ind w:left="178"/>
              <w:rPr>
                <w:rFonts w:ascii="楷体" w:hAnsi="楷体" w:eastAsia="楷体" w:cs="楷体"/>
                <w:sz w:val="18"/>
                <w:szCs w:val="18"/>
              </w:rPr>
            </w:pPr>
            <w:r>
              <w:rPr>
                <w:rFonts w:ascii="楷体" w:hAnsi="楷体" w:eastAsia="楷体" w:cs="楷体"/>
                <w:spacing w:val="1"/>
                <w:sz w:val="18"/>
                <w:szCs w:val="18"/>
              </w:rPr>
              <w:t>康</w:t>
            </w:r>
          </w:p>
          <w:p w14:paraId="1878F4A3">
            <w:pPr>
              <w:spacing w:before="92" w:line="185" w:lineRule="auto"/>
              <w:ind w:left="185"/>
              <w:rPr>
                <w:rFonts w:ascii="楷体" w:hAnsi="楷体" w:eastAsia="楷体" w:cs="楷体"/>
                <w:sz w:val="18"/>
                <w:szCs w:val="18"/>
              </w:rPr>
            </w:pPr>
            <w:r>
              <w:rPr>
                <w:rFonts w:ascii="楷体" w:hAnsi="楷体" w:eastAsia="楷体" w:cs="楷体"/>
                <w:sz w:val="18"/>
                <w:szCs w:val="18"/>
              </w:rPr>
              <w:t>可</w:t>
            </w:r>
          </w:p>
          <w:p w14:paraId="6C9C228D">
            <w:pPr>
              <w:spacing w:before="74" w:line="287" w:lineRule="auto"/>
              <w:ind w:left="155" w:right="115" w:firstLine="52"/>
              <w:jc w:val="both"/>
              <w:rPr>
                <w:rFonts w:ascii="楷体" w:hAnsi="楷体" w:eastAsia="楷体" w:cs="楷体"/>
                <w:sz w:val="18"/>
                <w:szCs w:val="18"/>
              </w:rPr>
            </w:pPr>
            <w:r>
              <w:rPr>
                <w:rFonts w:ascii="楷体" w:hAnsi="楷体" w:eastAsia="楷体" w:cs="楷体"/>
                <w:spacing w:val="-29"/>
                <w:sz w:val="18"/>
                <w:szCs w:val="18"/>
              </w:rPr>
              <w:t>尔</w:t>
            </w:r>
            <w:r>
              <w:rPr>
                <w:rFonts w:ascii="楷体" w:hAnsi="楷体" w:eastAsia="楷体" w:cs="楷体"/>
                <w:spacing w:val="-12"/>
                <w:sz w:val="18"/>
                <w:szCs w:val="18"/>
              </w:rPr>
              <w:t>因-</w:t>
            </w:r>
            <w:r>
              <w:rPr>
                <w:rFonts w:ascii="楷体" w:hAnsi="楷体" w:eastAsia="楷体" w:cs="楷体"/>
                <w:spacing w:val="23"/>
                <w:sz w:val="18"/>
                <w:szCs w:val="18"/>
              </w:rPr>
              <w:t>金</w:t>
            </w:r>
          </w:p>
          <w:p w14:paraId="0CAE8D8A">
            <w:pPr>
              <w:spacing w:line="220" w:lineRule="auto"/>
              <w:ind w:left="188"/>
              <w:rPr>
                <w:rFonts w:ascii="楷体" w:hAnsi="楷体" w:eastAsia="楷体" w:cs="楷体"/>
                <w:sz w:val="18"/>
                <w:szCs w:val="18"/>
              </w:rPr>
            </w:pPr>
            <w:r>
              <w:rPr>
                <w:rFonts w:ascii="楷体" w:hAnsi="楷体" w:eastAsia="楷体" w:cs="楷体"/>
                <w:sz w:val="18"/>
                <w:szCs w:val="18"/>
              </w:rPr>
              <w:t>川</w:t>
            </w:r>
          </w:p>
          <w:p w14:paraId="1264CC61">
            <w:pPr>
              <w:spacing w:before="64" w:line="222" w:lineRule="auto"/>
              <w:ind w:left="192"/>
              <w:rPr>
                <w:rFonts w:ascii="楷体" w:hAnsi="楷体" w:eastAsia="楷体" w:cs="楷体"/>
                <w:sz w:val="18"/>
                <w:szCs w:val="18"/>
              </w:rPr>
            </w:pPr>
            <w:r>
              <w:rPr>
                <w:rFonts w:ascii="楷体" w:hAnsi="楷体" w:eastAsia="楷体" w:cs="楷体"/>
                <w:sz w:val="18"/>
                <w:szCs w:val="18"/>
              </w:rPr>
              <w:t>李</w:t>
            </w:r>
          </w:p>
          <w:p w14:paraId="7D999AF9">
            <w:pPr>
              <w:spacing w:before="62" w:line="220" w:lineRule="auto"/>
              <w:ind w:left="200"/>
              <w:rPr>
                <w:rFonts w:ascii="楷体" w:hAnsi="楷体" w:eastAsia="楷体" w:cs="楷体"/>
                <w:sz w:val="18"/>
                <w:szCs w:val="18"/>
              </w:rPr>
            </w:pPr>
            <w:r>
              <w:rPr>
                <w:rFonts w:ascii="楷体" w:hAnsi="楷体" w:eastAsia="楷体" w:cs="楷体"/>
                <w:sz w:val="18"/>
                <w:szCs w:val="18"/>
              </w:rPr>
              <w:t>家</w:t>
            </w:r>
          </w:p>
          <w:p w14:paraId="6615D039">
            <w:pPr>
              <w:spacing w:before="68" w:line="215" w:lineRule="auto"/>
              <w:ind w:left="194"/>
              <w:rPr>
                <w:rFonts w:ascii="楷体" w:hAnsi="楷体" w:eastAsia="楷体" w:cs="楷体"/>
                <w:sz w:val="18"/>
                <w:szCs w:val="18"/>
              </w:rPr>
            </w:pPr>
            <w:r>
              <w:rPr>
                <w:rFonts w:ascii="楷体" w:hAnsi="楷体" w:eastAsia="楷体" w:cs="楷体"/>
                <w:sz w:val="18"/>
                <w:szCs w:val="18"/>
              </w:rPr>
              <w:t>沟</w:t>
            </w:r>
          </w:p>
        </w:tc>
        <w:tc>
          <w:tcPr>
            <w:tcW w:w="830" w:type="dxa"/>
            <w:vAlign w:val="top"/>
          </w:tcPr>
          <w:p w14:paraId="2F4A8CA6">
            <w:pPr>
              <w:spacing w:line="278" w:lineRule="auto"/>
              <w:rPr>
                <w:rFonts w:ascii="Arial"/>
                <w:sz w:val="21"/>
              </w:rPr>
            </w:pPr>
          </w:p>
          <w:p w14:paraId="2DF51CA3">
            <w:pPr>
              <w:spacing w:line="278" w:lineRule="auto"/>
              <w:rPr>
                <w:rFonts w:ascii="Arial"/>
                <w:sz w:val="21"/>
              </w:rPr>
            </w:pPr>
          </w:p>
          <w:p w14:paraId="22CD61A7">
            <w:pPr>
              <w:spacing w:line="278" w:lineRule="auto"/>
              <w:rPr>
                <w:rFonts w:ascii="Arial"/>
                <w:sz w:val="21"/>
              </w:rPr>
            </w:pPr>
          </w:p>
          <w:p w14:paraId="75969F3B">
            <w:pPr>
              <w:spacing w:line="279" w:lineRule="auto"/>
              <w:rPr>
                <w:rFonts w:ascii="Arial"/>
                <w:sz w:val="21"/>
              </w:rPr>
            </w:pPr>
          </w:p>
          <w:p w14:paraId="46E001E4">
            <w:pPr>
              <w:spacing w:line="279" w:lineRule="auto"/>
              <w:rPr>
                <w:rFonts w:ascii="Arial"/>
                <w:sz w:val="21"/>
              </w:rPr>
            </w:pPr>
          </w:p>
          <w:p w14:paraId="614F4004">
            <w:pPr>
              <w:spacing w:line="279" w:lineRule="auto"/>
              <w:rPr>
                <w:rFonts w:ascii="Arial"/>
                <w:sz w:val="21"/>
              </w:rPr>
            </w:pPr>
          </w:p>
          <w:p w14:paraId="77657D24">
            <w:pPr>
              <w:spacing w:before="58" w:line="226" w:lineRule="auto"/>
              <w:ind w:left="168"/>
              <w:rPr>
                <w:rFonts w:ascii="楷体" w:hAnsi="楷体" w:eastAsia="楷体" w:cs="楷体"/>
                <w:sz w:val="18"/>
                <w:szCs w:val="18"/>
              </w:rPr>
            </w:pPr>
            <w:r>
              <w:rPr>
                <w:rFonts w:ascii="楷体" w:hAnsi="楷体" w:eastAsia="楷体" w:cs="楷体"/>
                <w:spacing w:val="-6"/>
                <w:sz w:val="18"/>
                <w:szCs w:val="18"/>
              </w:rPr>
              <w:t>阿坝州</w:t>
            </w:r>
          </w:p>
        </w:tc>
        <w:tc>
          <w:tcPr>
            <w:tcW w:w="609" w:type="dxa"/>
            <w:vAlign w:val="top"/>
          </w:tcPr>
          <w:p w14:paraId="258D25CA">
            <w:pPr>
              <w:spacing w:line="278" w:lineRule="auto"/>
              <w:rPr>
                <w:rFonts w:ascii="Arial"/>
                <w:sz w:val="21"/>
              </w:rPr>
            </w:pPr>
          </w:p>
          <w:p w14:paraId="599E33F3">
            <w:pPr>
              <w:spacing w:line="278" w:lineRule="auto"/>
              <w:rPr>
                <w:rFonts w:ascii="Arial"/>
                <w:sz w:val="21"/>
              </w:rPr>
            </w:pPr>
          </w:p>
          <w:p w14:paraId="47319475">
            <w:pPr>
              <w:spacing w:line="278" w:lineRule="auto"/>
              <w:rPr>
                <w:rFonts w:ascii="Arial"/>
                <w:sz w:val="21"/>
              </w:rPr>
            </w:pPr>
          </w:p>
          <w:p w14:paraId="23427C99">
            <w:pPr>
              <w:spacing w:line="279" w:lineRule="auto"/>
              <w:rPr>
                <w:rFonts w:ascii="Arial"/>
                <w:sz w:val="21"/>
              </w:rPr>
            </w:pPr>
          </w:p>
          <w:p w14:paraId="3449C14B">
            <w:pPr>
              <w:spacing w:line="279" w:lineRule="auto"/>
              <w:rPr>
                <w:rFonts w:ascii="Arial"/>
                <w:sz w:val="21"/>
              </w:rPr>
            </w:pPr>
          </w:p>
          <w:p w14:paraId="0EEE0174">
            <w:pPr>
              <w:spacing w:line="279" w:lineRule="auto"/>
              <w:rPr>
                <w:rFonts w:ascii="Arial"/>
                <w:sz w:val="21"/>
              </w:rPr>
            </w:pPr>
          </w:p>
          <w:p w14:paraId="2B5BE48B">
            <w:pPr>
              <w:spacing w:before="59" w:line="233" w:lineRule="auto"/>
              <w:ind w:left="218"/>
              <w:rPr>
                <w:rFonts w:ascii="楷体" w:hAnsi="楷体" w:eastAsia="楷体" w:cs="楷体"/>
                <w:sz w:val="18"/>
                <w:szCs w:val="18"/>
              </w:rPr>
            </w:pPr>
            <w:r>
              <w:rPr>
                <w:rFonts w:ascii="楷体" w:hAnsi="楷体" w:eastAsia="楷体" w:cs="楷体"/>
                <w:sz w:val="18"/>
                <w:szCs w:val="18"/>
              </w:rPr>
              <w:t>锂</w:t>
            </w:r>
          </w:p>
        </w:tc>
        <w:tc>
          <w:tcPr>
            <w:tcW w:w="643" w:type="dxa"/>
            <w:vAlign w:val="top"/>
          </w:tcPr>
          <w:p w14:paraId="0F5BD21D">
            <w:pPr>
              <w:spacing w:line="255" w:lineRule="auto"/>
              <w:rPr>
                <w:rFonts w:ascii="Arial"/>
                <w:sz w:val="21"/>
              </w:rPr>
            </w:pPr>
          </w:p>
          <w:p w14:paraId="51831269">
            <w:pPr>
              <w:spacing w:line="255" w:lineRule="auto"/>
              <w:rPr>
                <w:rFonts w:ascii="Arial"/>
                <w:sz w:val="21"/>
              </w:rPr>
            </w:pPr>
          </w:p>
          <w:p w14:paraId="49ED0F5D">
            <w:pPr>
              <w:spacing w:line="255" w:lineRule="auto"/>
              <w:rPr>
                <w:rFonts w:ascii="Arial"/>
                <w:sz w:val="21"/>
              </w:rPr>
            </w:pPr>
          </w:p>
          <w:p w14:paraId="79C22286">
            <w:pPr>
              <w:spacing w:line="256" w:lineRule="auto"/>
              <w:rPr>
                <w:rFonts w:ascii="Arial"/>
                <w:sz w:val="21"/>
              </w:rPr>
            </w:pPr>
          </w:p>
          <w:p w14:paraId="3B0E495F">
            <w:pPr>
              <w:spacing w:line="256" w:lineRule="auto"/>
              <w:rPr>
                <w:rFonts w:ascii="Arial"/>
                <w:sz w:val="21"/>
              </w:rPr>
            </w:pPr>
          </w:p>
          <w:p w14:paraId="24B0C67B">
            <w:pPr>
              <w:spacing w:line="256" w:lineRule="auto"/>
              <w:rPr>
                <w:rFonts w:ascii="Arial"/>
                <w:sz w:val="21"/>
              </w:rPr>
            </w:pPr>
          </w:p>
          <w:p w14:paraId="36FBC7AD">
            <w:pPr>
              <w:spacing w:before="58" w:line="241" w:lineRule="auto"/>
              <w:ind w:left="160"/>
              <w:rPr>
                <w:rFonts w:ascii="楷体" w:hAnsi="楷体" w:eastAsia="楷体" w:cs="楷体"/>
                <w:sz w:val="18"/>
                <w:szCs w:val="18"/>
              </w:rPr>
            </w:pPr>
            <w:r>
              <w:rPr>
                <w:rFonts w:ascii="楷体" w:hAnsi="楷体" w:eastAsia="楷体" w:cs="楷体"/>
                <w:spacing w:val="-3"/>
                <w:sz w:val="18"/>
                <w:szCs w:val="18"/>
              </w:rPr>
              <w:t>716.</w:t>
            </w:r>
          </w:p>
          <w:p w14:paraId="6045D523">
            <w:pPr>
              <w:spacing w:before="43" w:line="238" w:lineRule="exact"/>
              <w:ind w:left="249"/>
              <w:rPr>
                <w:rFonts w:ascii="楷体" w:hAnsi="楷体" w:eastAsia="楷体" w:cs="楷体"/>
                <w:sz w:val="18"/>
                <w:szCs w:val="18"/>
              </w:rPr>
            </w:pPr>
            <w:r>
              <w:rPr>
                <w:rFonts w:ascii="楷体" w:hAnsi="楷体" w:eastAsia="楷体" w:cs="楷体"/>
                <w:spacing w:val="-3"/>
                <w:w w:val="97"/>
                <w:position w:val="1"/>
                <w:sz w:val="18"/>
                <w:szCs w:val="18"/>
              </w:rPr>
              <w:t>44</w:t>
            </w:r>
          </w:p>
        </w:tc>
        <w:tc>
          <w:tcPr>
            <w:tcW w:w="5224" w:type="dxa"/>
            <w:vAlign w:val="top"/>
          </w:tcPr>
          <w:p w14:paraId="789082F2">
            <w:pPr>
              <w:rPr>
                <w:rFonts w:ascii="Arial"/>
                <w:sz w:val="21"/>
              </w:rPr>
            </w:pPr>
          </w:p>
        </w:tc>
        <w:tc>
          <w:tcPr>
            <w:tcW w:w="969" w:type="dxa"/>
            <w:vAlign w:val="top"/>
          </w:tcPr>
          <w:p w14:paraId="3A532725">
            <w:pPr>
              <w:spacing w:line="278" w:lineRule="auto"/>
              <w:rPr>
                <w:rFonts w:ascii="Arial"/>
                <w:sz w:val="21"/>
              </w:rPr>
            </w:pPr>
          </w:p>
          <w:p w14:paraId="299B7380">
            <w:pPr>
              <w:spacing w:line="278" w:lineRule="auto"/>
              <w:rPr>
                <w:rFonts w:ascii="Arial"/>
                <w:sz w:val="21"/>
              </w:rPr>
            </w:pPr>
          </w:p>
          <w:p w14:paraId="6741CDAC">
            <w:pPr>
              <w:spacing w:line="278" w:lineRule="auto"/>
              <w:rPr>
                <w:rFonts w:ascii="Arial"/>
                <w:sz w:val="21"/>
              </w:rPr>
            </w:pPr>
          </w:p>
          <w:p w14:paraId="4DFE1AC0">
            <w:pPr>
              <w:spacing w:line="279" w:lineRule="auto"/>
              <w:rPr>
                <w:rFonts w:ascii="Arial"/>
                <w:sz w:val="21"/>
              </w:rPr>
            </w:pPr>
          </w:p>
          <w:p w14:paraId="17CB118F">
            <w:pPr>
              <w:spacing w:line="279" w:lineRule="auto"/>
              <w:rPr>
                <w:rFonts w:ascii="Arial"/>
                <w:sz w:val="21"/>
              </w:rPr>
            </w:pPr>
          </w:p>
          <w:p w14:paraId="380E7AB7">
            <w:pPr>
              <w:spacing w:line="279" w:lineRule="auto"/>
              <w:rPr>
                <w:rFonts w:ascii="Arial"/>
                <w:sz w:val="21"/>
              </w:rPr>
            </w:pPr>
          </w:p>
          <w:p w14:paraId="779A2081">
            <w:pPr>
              <w:spacing w:before="58" w:line="238" w:lineRule="exact"/>
              <w:ind w:left="459"/>
              <w:rPr>
                <w:rFonts w:ascii="楷体" w:hAnsi="楷体" w:eastAsia="楷体" w:cs="楷体"/>
                <w:sz w:val="18"/>
                <w:szCs w:val="18"/>
              </w:rPr>
            </w:pPr>
            <w:r>
              <w:rPr>
                <w:rFonts w:ascii="楷体" w:hAnsi="楷体" w:eastAsia="楷体" w:cs="楷体"/>
                <w:position w:val="1"/>
                <w:sz w:val="18"/>
                <w:szCs w:val="18"/>
              </w:rPr>
              <w:t>7</w:t>
            </w:r>
          </w:p>
        </w:tc>
        <w:tc>
          <w:tcPr>
            <w:tcW w:w="959" w:type="dxa"/>
            <w:vAlign w:val="top"/>
          </w:tcPr>
          <w:p w14:paraId="66EE3E05">
            <w:pPr>
              <w:rPr>
                <w:rFonts w:ascii="Arial"/>
                <w:sz w:val="21"/>
              </w:rPr>
            </w:pPr>
          </w:p>
        </w:tc>
        <w:tc>
          <w:tcPr>
            <w:tcW w:w="983" w:type="dxa"/>
            <w:vAlign w:val="top"/>
          </w:tcPr>
          <w:p w14:paraId="78CE2682">
            <w:pPr>
              <w:spacing w:line="278" w:lineRule="auto"/>
              <w:rPr>
                <w:rFonts w:ascii="Arial"/>
                <w:sz w:val="21"/>
              </w:rPr>
            </w:pPr>
          </w:p>
          <w:p w14:paraId="4B1DC917">
            <w:pPr>
              <w:spacing w:line="278" w:lineRule="auto"/>
              <w:rPr>
                <w:rFonts w:ascii="Arial"/>
                <w:sz w:val="21"/>
              </w:rPr>
            </w:pPr>
          </w:p>
          <w:p w14:paraId="712B28EA">
            <w:pPr>
              <w:spacing w:line="278" w:lineRule="auto"/>
              <w:rPr>
                <w:rFonts w:ascii="Arial"/>
                <w:sz w:val="21"/>
              </w:rPr>
            </w:pPr>
          </w:p>
          <w:p w14:paraId="51AD50F9">
            <w:pPr>
              <w:spacing w:line="279" w:lineRule="auto"/>
              <w:rPr>
                <w:rFonts w:ascii="Arial"/>
                <w:sz w:val="21"/>
              </w:rPr>
            </w:pPr>
          </w:p>
          <w:p w14:paraId="5701D3CB">
            <w:pPr>
              <w:spacing w:line="279" w:lineRule="auto"/>
              <w:rPr>
                <w:rFonts w:ascii="Arial"/>
                <w:sz w:val="21"/>
              </w:rPr>
            </w:pPr>
          </w:p>
          <w:p w14:paraId="774E7C0E">
            <w:pPr>
              <w:spacing w:line="279" w:lineRule="auto"/>
              <w:rPr>
                <w:rFonts w:ascii="Arial"/>
                <w:sz w:val="21"/>
              </w:rPr>
            </w:pPr>
          </w:p>
          <w:p w14:paraId="011F225E">
            <w:pPr>
              <w:spacing w:before="58" w:line="242" w:lineRule="auto"/>
              <w:ind w:left="476"/>
              <w:rPr>
                <w:rFonts w:ascii="楷体" w:hAnsi="楷体" w:eastAsia="楷体" w:cs="楷体"/>
                <w:sz w:val="18"/>
                <w:szCs w:val="18"/>
              </w:rPr>
            </w:pPr>
            <w:r>
              <w:rPr>
                <w:rFonts w:ascii="楷体" w:hAnsi="楷体" w:eastAsia="楷体" w:cs="楷体"/>
                <w:sz w:val="18"/>
                <w:szCs w:val="18"/>
              </w:rPr>
              <w:t>3</w:t>
            </w:r>
          </w:p>
        </w:tc>
        <w:tc>
          <w:tcPr>
            <w:tcW w:w="1708" w:type="dxa"/>
            <w:vAlign w:val="top"/>
          </w:tcPr>
          <w:p w14:paraId="5B4C7588">
            <w:pPr>
              <w:spacing w:line="278" w:lineRule="auto"/>
              <w:rPr>
                <w:rFonts w:ascii="Arial"/>
                <w:sz w:val="21"/>
              </w:rPr>
            </w:pPr>
          </w:p>
          <w:p w14:paraId="76DD8182">
            <w:pPr>
              <w:spacing w:line="278" w:lineRule="auto"/>
              <w:rPr>
                <w:rFonts w:ascii="Arial"/>
                <w:sz w:val="21"/>
              </w:rPr>
            </w:pPr>
          </w:p>
          <w:p w14:paraId="646200B6">
            <w:pPr>
              <w:spacing w:line="278" w:lineRule="auto"/>
              <w:rPr>
                <w:rFonts w:ascii="Arial"/>
                <w:sz w:val="21"/>
              </w:rPr>
            </w:pPr>
          </w:p>
          <w:p w14:paraId="199BFC0B">
            <w:pPr>
              <w:spacing w:line="279" w:lineRule="auto"/>
              <w:rPr>
                <w:rFonts w:ascii="Arial"/>
                <w:sz w:val="21"/>
              </w:rPr>
            </w:pPr>
          </w:p>
          <w:p w14:paraId="1D71A776">
            <w:pPr>
              <w:spacing w:line="279" w:lineRule="auto"/>
              <w:rPr>
                <w:rFonts w:ascii="Arial"/>
                <w:sz w:val="21"/>
              </w:rPr>
            </w:pPr>
          </w:p>
          <w:p w14:paraId="5FF0483C">
            <w:pPr>
              <w:spacing w:line="279" w:lineRule="auto"/>
              <w:rPr>
                <w:rFonts w:ascii="Arial"/>
                <w:sz w:val="21"/>
              </w:rPr>
            </w:pPr>
          </w:p>
          <w:p w14:paraId="0F241542">
            <w:pPr>
              <w:spacing w:before="58" w:line="239" w:lineRule="auto"/>
              <w:ind w:left="651"/>
              <w:rPr>
                <w:rFonts w:ascii="楷体" w:hAnsi="楷体" w:eastAsia="楷体" w:cs="楷体"/>
                <w:sz w:val="18"/>
                <w:szCs w:val="18"/>
              </w:rPr>
            </w:pPr>
            <w:r>
              <w:rPr>
                <w:rFonts w:ascii="楷体" w:hAnsi="楷体" w:eastAsia="楷体" w:cs="楷体"/>
                <w:spacing w:val="-3"/>
                <w:sz w:val="18"/>
                <w:szCs w:val="18"/>
              </w:rPr>
              <w:t>150.5</w:t>
            </w:r>
          </w:p>
        </w:tc>
        <w:tc>
          <w:tcPr>
            <w:tcW w:w="796" w:type="dxa"/>
            <w:vAlign w:val="top"/>
          </w:tcPr>
          <w:p w14:paraId="0F0BCA3D">
            <w:pPr>
              <w:spacing w:line="255" w:lineRule="auto"/>
              <w:rPr>
                <w:rFonts w:ascii="Arial"/>
                <w:sz w:val="21"/>
              </w:rPr>
            </w:pPr>
          </w:p>
          <w:p w14:paraId="742CE374">
            <w:pPr>
              <w:spacing w:line="255" w:lineRule="auto"/>
              <w:rPr>
                <w:rFonts w:ascii="Arial"/>
                <w:sz w:val="21"/>
              </w:rPr>
            </w:pPr>
          </w:p>
          <w:p w14:paraId="15CFFAAB">
            <w:pPr>
              <w:spacing w:line="255" w:lineRule="auto"/>
              <w:rPr>
                <w:rFonts w:ascii="Arial"/>
                <w:sz w:val="21"/>
              </w:rPr>
            </w:pPr>
          </w:p>
          <w:p w14:paraId="30BD8064">
            <w:pPr>
              <w:spacing w:line="255" w:lineRule="auto"/>
              <w:rPr>
                <w:rFonts w:ascii="Arial"/>
                <w:sz w:val="21"/>
              </w:rPr>
            </w:pPr>
          </w:p>
          <w:p w14:paraId="0CAECC68">
            <w:pPr>
              <w:spacing w:line="256" w:lineRule="auto"/>
              <w:rPr>
                <w:rFonts w:ascii="Arial"/>
                <w:sz w:val="21"/>
              </w:rPr>
            </w:pPr>
          </w:p>
          <w:p w14:paraId="477F8867">
            <w:pPr>
              <w:spacing w:line="256" w:lineRule="auto"/>
              <w:rPr>
                <w:rFonts w:ascii="Arial"/>
                <w:sz w:val="21"/>
              </w:rPr>
            </w:pPr>
          </w:p>
          <w:p w14:paraId="4584E6A7">
            <w:pPr>
              <w:spacing w:before="59" w:line="289" w:lineRule="auto"/>
              <w:ind w:left="143" w:right="114" w:firstLine="7"/>
              <w:rPr>
                <w:rFonts w:ascii="楷体" w:hAnsi="楷体" w:eastAsia="楷体" w:cs="楷体"/>
                <w:sz w:val="18"/>
                <w:szCs w:val="18"/>
              </w:rPr>
            </w:pPr>
            <w:r>
              <w:rPr>
                <w:rFonts w:ascii="楷体" w:hAnsi="楷体" w:eastAsia="楷体" w:cs="楷体"/>
                <w:spacing w:val="-5"/>
                <w:sz w:val="18"/>
                <w:szCs w:val="18"/>
              </w:rPr>
              <w:t>落实省</w:t>
            </w:r>
            <w:r>
              <w:rPr>
                <w:rFonts w:ascii="楷体" w:hAnsi="楷体" w:eastAsia="楷体" w:cs="楷体"/>
                <w:spacing w:val="-3"/>
                <w:sz w:val="18"/>
                <w:szCs w:val="18"/>
              </w:rPr>
              <w:t>级规划</w:t>
            </w:r>
          </w:p>
        </w:tc>
      </w:tr>
      <w:tr w14:paraId="4FF89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427" w:type="dxa"/>
            <w:vAlign w:val="top"/>
          </w:tcPr>
          <w:p w14:paraId="79044980">
            <w:pPr>
              <w:rPr>
                <w:rFonts w:ascii="Arial"/>
                <w:sz w:val="21"/>
              </w:rPr>
            </w:pPr>
          </w:p>
        </w:tc>
        <w:tc>
          <w:tcPr>
            <w:tcW w:w="504" w:type="dxa"/>
            <w:vAlign w:val="top"/>
          </w:tcPr>
          <w:p w14:paraId="7348916E">
            <w:pPr>
              <w:rPr>
                <w:rFonts w:ascii="Arial"/>
                <w:sz w:val="21"/>
              </w:rPr>
            </w:pPr>
          </w:p>
        </w:tc>
        <w:tc>
          <w:tcPr>
            <w:tcW w:w="523" w:type="dxa"/>
            <w:vAlign w:val="top"/>
          </w:tcPr>
          <w:p w14:paraId="1DF59A58">
            <w:pPr>
              <w:rPr>
                <w:rFonts w:ascii="Arial"/>
                <w:sz w:val="21"/>
              </w:rPr>
            </w:pPr>
          </w:p>
        </w:tc>
        <w:tc>
          <w:tcPr>
            <w:tcW w:w="830" w:type="dxa"/>
            <w:vAlign w:val="top"/>
          </w:tcPr>
          <w:p w14:paraId="3DBF8945">
            <w:pPr>
              <w:rPr>
                <w:rFonts w:ascii="Arial"/>
                <w:sz w:val="21"/>
              </w:rPr>
            </w:pPr>
          </w:p>
        </w:tc>
        <w:tc>
          <w:tcPr>
            <w:tcW w:w="609" w:type="dxa"/>
            <w:vAlign w:val="top"/>
          </w:tcPr>
          <w:p w14:paraId="5545FDA2">
            <w:pPr>
              <w:rPr>
                <w:rFonts w:ascii="Arial"/>
                <w:sz w:val="21"/>
              </w:rPr>
            </w:pPr>
          </w:p>
        </w:tc>
        <w:tc>
          <w:tcPr>
            <w:tcW w:w="643" w:type="dxa"/>
            <w:vAlign w:val="top"/>
          </w:tcPr>
          <w:p w14:paraId="587581FA">
            <w:pPr>
              <w:rPr>
                <w:rFonts w:ascii="Arial"/>
                <w:sz w:val="21"/>
              </w:rPr>
            </w:pPr>
          </w:p>
        </w:tc>
        <w:tc>
          <w:tcPr>
            <w:tcW w:w="5224" w:type="dxa"/>
            <w:vAlign w:val="top"/>
          </w:tcPr>
          <w:p w14:paraId="462FD90C">
            <w:pPr>
              <w:rPr>
                <w:rFonts w:ascii="Arial"/>
                <w:sz w:val="21"/>
              </w:rPr>
            </w:pPr>
          </w:p>
        </w:tc>
        <w:tc>
          <w:tcPr>
            <w:tcW w:w="969" w:type="dxa"/>
            <w:vAlign w:val="top"/>
          </w:tcPr>
          <w:p w14:paraId="1F080C80">
            <w:pPr>
              <w:rPr>
                <w:rFonts w:ascii="Arial"/>
                <w:sz w:val="21"/>
              </w:rPr>
            </w:pPr>
          </w:p>
        </w:tc>
        <w:tc>
          <w:tcPr>
            <w:tcW w:w="959" w:type="dxa"/>
            <w:vAlign w:val="top"/>
          </w:tcPr>
          <w:p w14:paraId="279BF2BB">
            <w:pPr>
              <w:rPr>
                <w:rFonts w:ascii="Arial"/>
                <w:sz w:val="21"/>
              </w:rPr>
            </w:pPr>
          </w:p>
        </w:tc>
        <w:tc>
          <w:tcPr>
            <w:tcW w:w="983" w:type="dxa"/>
            <w:vAlign w:val="top"/>
          </w:tcPr>
          <w:p w14:paraId="0A6F374C">
            <w:pPr>
              <w:rPr>
                <w:rFonts w:ascii="Arial"/>
                <w:sz w:val="21"/>
              </w:rPr>
            </w:pPr>
          </w:p>
        </w:tc>
        <w:tc>
          <w:tcPr>
            <w:tcW w:w="1708" w:type="dxa"/>
            <w:vAlign w:val="top"/>
          </w:tcPr>
          <w:p w14:paraId="25ABCE0E">
            <w:pPr>
              <w:rPr>
                <w:rFonts w:ascii="Arial"/>
                <w:sz w:val="21"/>
              </w:rPr>
            </w:pPr>
          </w:p>
        </w:tc>
        <w:tc>
          <w:tcPr>
            <w:tcW w:w="796" w:type="dxa"/>
            <w:vAlign w:val="top"/>
          </w:tcPr>
          <w:p w14:paraId="69DD0EB0">
            <w:pPr>
              <w:rPr>
                <w:rFonts w:ascii="Arial"/>
                <w:sz w:val="21"/>
              </w:rPr>
            </w:pPr>
          </w:p>
        </w:tc>
      </w:tr>
    </w:tbl>
    <w:p w14:paraId="74077993">
      <w:pPr>
        <w:pStyle w:val="2"/>
      </w:pPr>
    </w:p>
    <w:p w14:paraId="6B34913B">
      <w:pPr>
        <w:sectPr>
          <w:footerReference r:id="rId51" w:type="default"/>
          <w:pgSz w:w="16835" w:h="11904"/>
          <w:pgMar w:top="1011" w:right="1329" w:bottom="1287" w:left="1324" w:header="0" w:footer="920" w:gutter="0"/>
          <w:cols w:space="720" w:num="1"/>
        </w:sectPr>
      </w:pPr>
    </w:p>
    <w:p w14:paraId="45C7042D">
      <w:pPr>
        <w:pStyle w:val="2"/>
        <w:spacing w:line="269" w:lineRule="auto"/>
      </w:pPr>
    </w:p>
    <w:p w14:paraId="75EF0D0B">
      <w:pPr>
        <w:pStyle w:val="2"/>
        <w:spacing w:line="269" w:lineRule="auto"/>
      </w:pPr>
    </w:p>
    <w:p w14:paraId="52F16AA0">
      <w:pPr>
        <w:pStyle w:val="2"/>
        <w:spacing w:line="269" w:lineRule="auto"/>
      </w:pPr>
    </w:p>
    <w:p w14:paraId="6E5C165C">
      <w:pPr>
        <w:pStyle w:val="2"/>
        <w:spacing w:before="101" w:line="226" w:lineRule="auto"/>
        <w:ind w:left="783"/>
        <w:outlineLvl w:val="0"/>
        <w:rPr>
          <w:rFonts w:ascii="黑体" w:hAnsi="黑体" w:eastAsia="黑体" w:cs="黑体"/>
          <w:sz w:val="31"/>
          <w:szCs w:val="31"/>
        </w:rPr>
      </w:pPr>
      <w:r>
        <w:rPr>
          <w:rFonts w:ascii="黑体" w:hAnsi="黑体" w:eastAsia="黑体" w:cs="黑体"/>
          <w:spacing w:val="4"/>
          <w:sz w:val="31"/>
          <w:szCs w:val="31"/>
        </w:rPr>
        <w:t>附表</w:t>
      </w:r>
      <w:r>
        <w:rPr>
          <w:rFonts w:ascii="黑体" w:hAnsi="黑体" w:eastAsia="黑体" w:cs="黑体"/>
          <w:spacing w:val="-41"/>
          <w:sz w:val="31"/>
          <w:szCs w:val="31"/>
        </w:rPr>
        <w:t xml:space="preserve"> </w:t>
      </w:r>
      <w:r>
        <w:rPr>
          <w:spacing w:val="4"/>
          <w:sz w:val="31"/>
          <w:szCs w:val="31"/>
        </w:rPr>
        <w:t>2</w:t>
      </w:r>
      <w:r>
        <w:rPr>
          <w:spacing w:val="1"/>
          <w:sz w:val="31"/>
          <w:szCs w:val="31"/>
        </w:rPr>
        <w:t xml:space="preserve">    </w:t>
      </w:r>
      <w:r>
        <w:rPr>
          <w:rFonts w:ascii="黑体" w:hAnsi="黑体" w:eastAsia="黑体" w:cs="黑体"/>
          <w:spacing w:val="4"/>
          <w:sz w:val="31"/>
          <w:szCs w:val="31"/>
        </w:rPr>
        <w:t>阿坝州国家规划矿区表</w:t>
      </w:r>
    </w:p>
    <w:p w14:paraId="3B85F503">
      <w:pPr>
        <w:spacing w:line="119" w:lineRule="exact"/>
      </w:pPr>
    </w:p>
    <w:tbl>
      <w:tblPr>
        <w:tblStyle w:val="5"/>
        <w:tblW w:w="14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0"/>
        <w:gridCol w:w="499"/>
        <w:gridCol w:w="633"/>
        <w:gridCol w:w="1166"/>
        <w:gridCol w:w="926"/>
        <w:gridCol w:w="2648"/>
        <w:gridCol w:w="720"/>
        <w:gridCol w:w="609"/>
        <w:gridCol w:w="547"/>
        <w:gridCol w:w="763"/>
        <w:gridCol w:w="763"/>
        <w:gridCol w:w="743"/>
        <w:gridCol w:w="1089"/>
        <w:gridCol w:w="772"/>
        <w:gridCol w:w="1146"/>
        <w:gridCol w:w="681"/>
      </w:tblGrid>
      <w:tr w14:paraId="42191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470" w:type="dxa"/>
            <w:textDirection w:val="tbRlV"/>
            <w:vAlign w:val="top"/>
          </w:tcPr>
          <w:p w14:paraId="68DD41BE">
            <w:pPr>
              <w:spacing w:before="105" w:line="216" w:lineRule="auto"/>
              <w:ind w:left="801"/>
              <w:rPr>
                <w:rFonts w:ascii="黑体" w:hAnsi="黑体" w:eastAsia="黑体" w:cs="黑体"/>
                <w:sz w:val="23"/>
                <w:szCs w:val="23"/>
              </w:rPr>
            </w:pPr>
            <w:r>
              <w:rPr>
                <w:rFonts w:ascii="黑体" w:hAnsi="黑体" w:eastAsia="黑体" w:cs="黑体"/>
                <w:spacing w:val="13"/>
                <w:sz w:val="23"/>
                <w:szCs w:val="23"/>
              </w:rPr>
              <w:t>序</w:t>
            </w:r>
            <w:r>
              <w:rPr>
                <w:rFonts w:ascii="黑体" w:hAnsi="黑体" w:eastAsia="黑体" w:cs="黑体"/>
                <w:spacing w:val="107"/>
                <w:sz w:val="23"/>
                <w:szCs w:val="23"/>
              </w:rPr>
              <w:t xml:space="preserve"> </w:t>
            </w:r>
            <w:r>
              <w:rPr>
                <w:rFonts w:ascii="黑体" w:hAnsi="黑体" w:eastAsia="黑体" w:cs="黑体"/>
                <w:spacing w:val="13"/>
                <w:sz w:val="23"/>
                <w:szCs w:val="23"/>
              </w:rPr>
              <w:t>号</w:t>
            </w:r>
          </w:p>
        </w:tc>
        <w:tc>
          <w:tcPr>
            <w:tcW w:w="499" w:type="dxa"/>
            <w:textDirection w:val="tbRlV"/>
            <w:vAlign w:val="top"/>
          </w:tcPr>
          <w:p w14:paraId="72AFA60E">
            <w:pPr>
              <w:spacing w:before="124" w:line="215" w:lineRule="auto"/>
              <w:ind w:left="801"/>
              <w:rPr>
                <w:rFonts w:ascii="黑体" w:hAnsi="黑体" w:eastAsia="黑体" w:cs="黑体"/>
                <w:sz w:val="23"/>
                <w:szCs w:val="23"/>
              </w:rPr>
            </w:pPr>
            <w:r>
              <w:rPr>
                <w:rFonts w:ascii="黑体" w:hAnsi="黑体" w:eastAsia="黑体" w:cs="黑体"/>
                <w:spacing w:val="13"/>
                <w:sz w:val="23"/>
                <w:szCs w:val="23"/>
              </w:rPr>
              <w:t>编</w:t>
            </w:r>
            <w:r>
              <w:rPr>
                <w:rFonts w:ascii="黑体" w:hAnsi="黑体" w:eastAsia="黑体" w:cs="黑体"/>
                <w:spacing w:val="107"/>
                <w:sz w:val="23"/>
                <w:szCs w:val="23"/>
              </w:rPr>
              <w:t xml:space="preserve"> </w:t>
            </w:r>
            <w:r>
              <w:rPr>
                <w:rFonts w:ascii="黑体" w:hAnsi="黑体" w:eastAsia="黑体" w:cs="黑体"/>
                <w:spacing w:val="13"/>
                <w:sz w:val="23"/>
                <w:szCs w:val="23"/>
              </w:rPr>
              <w:t>号</w:t>
            </w:r>
          </w:p>
        </w:tc>
        <w:tc>
          <w:tcPr>
            <w:tcW w:w="633" w:type="dxa"/>
            <w:textDirection w:val="tbRlV"/>
            <w:vAlign w:val="top"/>
          </w:tcPr>
          <w:p w14:paraId="296BD9D3">
            <w:pPr>
              <w:spacing w:before="190" w:line="215" w:lineRule="auto"/>
              <w:ind w:left="801"/>
              <w:rPr>
                <w:rFonts w:ascii="黑体" w:hAnsi="黑体" w:eastAsia="黑体" w:cs="黑体"/>
                <w:sz w:val="23"/>
                <w:szCs w:val="23"/>
              </w:rPr>
            </w:pPr>
            <w:r>
              <w:rPr>
                <w:rFonts w:ascii="黑体" w:hAnsi="黑体" w:eastAsia="黑体" w:cs="黑体"/>
                <w:spacing w:val="13"/>
                <w:sz w:val="23"/>
                <w:szCs w:val="23"/>
              </w:rPr>
              <w:t>名</w:t>
            </w:r>
            <w:r>
              <w:rPr>
                <w:rFonts w:ascii="黑体" w:hAnsi="黑体" w:eastAsia="黑体" w:cs="黑体"/>
                <w:spacing w:val="107"/>
                <w:sz w:val="23"/>
                <w:szCs w:val="23"/>
              </w:rPr>
              <w:t xml:space="preserve"> </w:t>
            </w:r>
            <w:r>
              <w:rPr>
                <w:rFonts w:ascii="黑体" w:hAnsi="黑体" w:eastAsia="黑体" w:cs="黑体"/>
                <w:spacing w:val="13"/>
                <w:sz w:val="23"/>
                <w:szCs w:val="23"/>
              </w:rPr>
              <w:t>称</w:t>
            </w:r>
          </w:p>
        </w:tc>
        <w:tc>
          <w:tcPr>
            <w:tcW w:w="1166" w:type="dxa"/>
            <w:vAlign w:val="top"/>
          </w:tcPr>
          <w:p w14:paraId="5A0F8AE0">
            <w:pPr>
              <w:rPr>
                <w:rFonts w:ascii="Arial"/>
                <w:sz w:val="21"/>
              </w:rPr>
            </w:pPr>
          </w:p>
          <w:p w14:paraId="28D89C52">
            <w:pPr>
              <w:rPr>
                <w:rFonts w:ascii="Arial"/>
                <w:sz w:val="21"/>
              </w:rPr>
            </w:pPr>
          </w:p>
          <w:p w14:paraId="434F0A1B">
            <w:pPr>
              <w:spacing w:line="241" w:lineRule="auto"/>
              <w:rPr>
                <w:rFonts w:ascii="Arial"/>
                <w:sz w:val="21"/>
              </w:rPr>
            </w:pPr>
          </w:p>
          <w:p w14:paraId="2FBDDBB1">
            <w:pPr>
              <w:spacing w:before="75" w:line="377" w:lineRule="auto"/>
              <w:ind w:left="489" w:right="95" w:hanging="371"/>
              <w:rPr>
                <w:rFonts w:ascii="黑体" w:hAnsi="黑体" w:eastAsia="黑体" w:cs="黑体"/>
                <w:sz w:val="23"/>
                <w:szCs w:val="23"/>
              </w:rPr>
            </w:pPr>
            <w:r>
              <w:rPr>
                <w:rFonts w:ascii="黑体" w:hAnsi="黑体" w:eastAsia="黑体" w:cs="黑体"/>
                <w:spacing w:val="6"/>
                <w:sz w:val="23"/>
                <w:szCs w:val="23"/>
              </w:rPr>
              <w:t>所在行政</w:t>
            </w:r>
            <w:r>
              <w:rPr>
                <w:rFonts w:ascii="黑体" w:hAnsi="黑体" w:eastAsia="黑体" w:cs="黑体"/>
                <w:sz w:val="23"/>
                <w:szCs w:val="23"/>
              </w:rPr>
              <w:t>区</w:t>
            </w:r>
          </w:p>
        </w:tc>
        <w:tc>
          <w:tcPr>
            <w:tcW w:w="926" w:type="dxa"/>
            <w:vAlign w:val="top"/>
          </w:tcPr>
          <w:p w14:paraId="78BAD6BD">
            <w:pPr>
              <w:rPr>
                <w:rFonts w:ascii="Arial"/>
                <w:sz w:val="21"/>
              </w:rPr>
            </w:pPr>
          </w:p>
          <w:p w14:paraId="04E5B6E0">
            <w:pPr>
              <w:spacing w:line="241" w:lineRule="auto"/>
              <w:rPr>
                <w:rFonts w:ascii="Arial"/>
                <w:sz w:val="21"/>
              </w:rPr>
            </w:pPr>
          </w:p>
          <w:p w14:paraId="1354B1BA">
            <w:pPr>
              <w:spacing w:line="241" w:lineRule="auto"/>
              <w:rPr>
                <w:rFonts w:ascii="Arial"/>
                <w:sz w:val="21"/>
              </w:rPr>
            </w:pPr>
          </w:p>
          <w:p w14:paraId="17E9D880">
            <w:pPr>
              <w:spacing w:before="75" w:line="377" w:lineRule="auto"/>
              <w:ind w:left="218" w:right="157" w:firstLine="23"/>
              <w:rPr>
                <w:rFonts w:ascii="黑体" w:hAnsi="黑体" w:eastAsia="黑体" w:cs="黑体"/>
                <w:sz w:val="23"/>
                <w:szCs w:val="23"/>
              </w:rPr>
            </w:pPr>
            <w:r>
              <w:rPr>
                <w:rFonts w:ascii="黑体" w:hAnsi="黑体" w:eastAsia="黑体" w:cs="黑体"/>
                <w:spacing w:val="2"/>
                <w:sz w:val="23"/>
                <w:szCs w:val="23"/>
              </w:rPr>
              <w:t>面积</w:t>
            </w:r>
            <w:r>
              <w:rPr>
                <w:rFonts w:ascii="黑体" w:hAnsi="黑体" w:eastAsia="黑体" w:cs="黑体"/>
                <w:spacing w:val="-6"/>
                <w:sz w:val="23"/>
                <w:szCs w:val="23"/>
              </w:rPr>
              <w:t>(Km2)</w:t>
            </w:r>
          </w:p>
        </w:tc>
        <w:tc>
          <w:tcPr>
            <w:tcW w:w="2648" w:type="dxa"/>
            <w:vAlign w:val="top"/>
          </w:tcPr>
          <w:p w14:paraId="0C9D6213">
            <w:pPr>
              <w:spacing w:line="318" w:lineRule="auto"/>
              <w:rPr>
                <w:rFonts w:ascii="Arial"/>
                <w:sz w:val="21"/>
              </w:rPr>
            </w:pPr>
          </w:p>
          <w:p w14:paraId="5D163115">
            <w:pPr>
              <w:spacing w:line="318" w:lineRule="auto"/>
              <w:rPr>
                <w:rFonts w:ascii="Arial"/>
                <w:sz w:val="21"/>
              </w:rPr>
            </w:pPr>
          </w:p>
          <w:p w14:paraId="7D7C6180">
            <w:pPr>
              <w:spacing w:line="319" w:lineRule="auto"/>
              <w:rPr>
                <w:rFonts w:ascii="Arial"/>
                <w:sz w:val="21"/>
              </w:rPr>
            </w:pPr>
          </w:p>
          <w:p w14:paraId="0F4A89CE">
            <w:pPr>
              <w:spacing w:before="75" w:line="231" w:lineRule="auto"/>
              <w:ind w:left="861"/>
              <w:rPr>
                <w:rFonts w:ascii="黑体" w:hAnsi="黑体" w:eastAsia="黑体" w:cs="黑体"/>
                <w:sz w:val="23"/>
                <w:szCs w:val="23"/>
              </w:rPr>
            </w:pPr>
            <w:r>
              <w:rPr>
                <w:rFonts w:ascii="黑体" w:hAnsi="黑体" w:eastAsia="黑体" w:cs="黑体"/>
                <w:spacing w:val="7"/>
                <w:sz w:val="23"/>
                <w:szCs w:val="23"/>
              </w:rPr>
              <w:t>拐点坐标</w:t>
            </w:r>
          </w:p>
        </w:tc>
        <w:tc>
          <w:tcPr>
            <w:tcW w:w="720" w:type="dxa"/>
            <w:vAlign w:val="top"/>
          </w:tcPr>
          <w:p w14:paraId="6042CFEB">
            <w:pPr>
              <w:rPr>
                <w:rFonts w:ascii="Arial"/>
                <w:sz w:val="21"/>
              </w:rPr>
            </w:pPr>
          </w:p>
          <w:p w14:paraId="61DC955C">
            <w:pPr>
              <w:rPr>
                <w:rFonts w:ascii="Arial"/>
                <w:sz w:val="21"/>
              </w:rPr>
            </w:pPr>
          </w:p>
          <w:p w14:paraId="56BBF945">
            <w:pPr>
              <w:spacing w:line="241" w:lineRule="auto"/>
              <w:rPr>
                <w:rFonts w:ascii="Arial"/>
                <w:sz w:val="21"/>
              </w:rPr>
            </w:pPr>
          </w:p>
          <w:p w14:paraId="782AFC00">
            <w:pPr>
              <w:spacing w:before="75" w:line="374" w:lineRule="auto"/>
              <w:ind w:left="134" w:right="108" w:firstLine="5"/>
              <w:rPr>
                <w:rFonts w:ascii="黑体" w:hAnsi="黑体" w:eastAsia="黑体" w:cs="黑体"/>
                <w:sz w:val="23"/>
                <w:szCs w:val="23"/>
              </w:rPr>
            </w:pPr>
            <w:r>
              <w:rPr>
                <w:rFonts w:ascii="黑体" w:hAnsi="黑体" w:eastAsia="黑体" w:cs="黑体"/>
                <w:spacing w:val="3"/>
                <w:sz w:val="23"/>
                <w:szCs w:val="23"/>
              </w:rPr>
              <w:t>主要</w:t>
            </w:r>
            <w:r>
              <w:rPr>
                <w:rFonts w:ascii="黑体" w:hAnsi="黑体" w:eastAsia="黑体" w:cs="黑体"/>
                <w:spacing w:val="6"/>
                <w:sz w:val="23"/>
                <w:szCs w:val="23"/>
              </w:rPr>
              <w:t>矿种</w:t>
            </w:r>
          </w:p>
        </w:tc>
        <w:tc>
          <w:tcPr>
            <w:tcW w:w="609" w:type="dxa"/>
            <w:textDirection w:val="tbRlV"/>
            <w:vAlign w:val="top"/>
          </w:tcPr>
          <w:p w14:paraId="4483FFD9">
            <w:pPr>
              <w:spacing w:before="175" w:line="215" w:lineRule="auto"/>
              <w:ind w:left="100"/>
              <w:rPr>
                <w:rFonts w:ascii="黑体" w:hAnsi="黑体" w:eastAsia="黑体" w:cs="黑体"/>
                <w:sz w:val="23"/>
                <w:szCs w:val="23"/>
              </w:rPr>
            </w:pPr>
            <w:r>
              <w:rPr>
                <w:rFonts w:ascii="黑体" w:hAnsi="黑体" w:eastAsia="黑体" w:cs="黑体"/>
                <w:spacing w:val="13"/>
                <w:sz w:val="23"/>
                <w:szCs w:val="23"/>
              </w:rPr>
              <w:t>资</w:t>
            </w:r>
            <w:r>
              <w:rPr>
                <w:rFonts w:ascii="黑体" w:hAnsi="黑体" w:eastAsia="黑体" w:cs="黑体"/>
                <w:spacing w:val="108"/>
                <w:sz w:val="23"/>
                <w:szCs w:val="23"/>
              </w:rPr>
              <w:t xml:space="preserve"> </w:t>
            </w:r>
            <w:r>
              <w:rPr>
                <w:rFonts w:ascii="黑体" w:hAnsi="黑体" w:eastAsia="黑体" w:cs="黑体"/>
                <w:spacing w:val="13"/>
                <w:sz w:val="23"/>
                <w:szCs w:val="23"/>
              </w:rPr>
              <w:t>源</w:t>
            </w:r>
            <w:r>
              <w:rPr>
                <w:rFonts w:ascii="黑体" w:hAnsi="黑体" w:eastAsia="黑体" w:cs="黑体"/>
                <w:spacing w:val="112"/>
                <w:sz w:val="23"/>
                <w:szCs w:val="23"/>
              </w:rPr>
              <w:t xml:space="preserve"> </w:t>
            </w:r>
            <w:r>
              <w:rPr>
                <w:rFonts w:ascii="黑体" w:hAnsi="黑体" w:eastAsia="黑体" w:cs="黑体"/>
                <w:spacing w:val="13"/>
                <w:sz w:val="23"/>
                <w:szCs w:val="23"/>
              </w:rPr>
              <w:t>量</w:t>
            </w:r>
            <w:r>
              <w:rPr>
                <w:rFonts w:ascii="黑体" w:hAnsi="黑体" w:eastAsia="黑体" w:cs="黑体"/>
                <w:spacing w:val="107"/>
                <w:sz w:val="23"/>
                <w:szCs w:val="23"/>
              </w:rPr>
              <w:t xml:space="preserve"> </w:t>
            </w:r>
            <w:r>
              <w:rPr>
                <w:rFonts w:ascii="黑体" w:hAnsi="黑体" w:eastAsia="黑体" w:cs="黑体"/>
                <w:spacing w:val="13"/>
                <w:sz w:val="23"/>
                <w:szCs w:val="23"/>
              </w:rPr>
              <w:t>单</w:t>
            </w:r>
            <w:r>
              <w:rPr>
                <w:rFonts w:ascii="黑体" w:hAnsi="黑体" w:eastAsia="黑体" w:cs="黑体"/>
                <w:spacing w:val="112"/>
                <w:sz w:val="23"/>
                <w:szCs w:val="23"/>
              </w:rPr>
              <w:t xml:space="preserve"> </w:t>
            </w:r>
            <w:r>
              <w:rPr>
                <w:rFonts w:ascii="黑体" w:hAnsi="黑体" w:eastAsia="黑体" w:cs="黑体"/>
                <w:spacing w:val="13"/>
                <w:sz w:val="23"/>
                <w:szCs w:val="23"/>
              </w:rPr>
              <w:t>位</w:t>
            </w:r>
          </w:p>
        </w:tc>
        <w:tc>
          <w:tcPr>
            <w:tcW w:w="547" w:type="dxa"/>
            <w:textDirection w:val="tbRlV"/>
            <w:vAlign w:val="top"/>
          </w:tcPr>
          <w:p w14:paraId="4B6A3327">
            <w:pPr>
              <w:spacing w:before="141" w:line="214" w:lineRule="auto"/>
              <w:ind w:left="565"/>
              <w:rPr>
                <w:rFonts w:ascii="黑体" w:hAnsi="黑体" w:eastAsia="黑体" w:cs="黑体"/>
                <w:sz w:val="23"/>
                <w:szCs w:val="23"/>
              </w:rPr>
            </w:pPr>
            <w:r>
              <w:rPr>
                <w:rFonts w:ascii="黑体" w:hAnsi="黑体" w:eastAsia="黑体" w:cs="黑体"/>
                <w:spacing w:val="13"/>
                <w:sz w:val="23"/>
                <w:szCs w:val="23"/>
              </w:rPr>
              <w:t>资</w:t>
            </w:r>
            <w:r>
              <w:rPr>
                <w:rFonts w:ascii="黑体" w:hAnsi="黑体" w:eastAsia="黑体" w:cs="黑体"/>
                <w:spacing w:val="112"/>
                <w:sz w:val="23"/>
                <w:szCs w:val="23"/>
              </w:rPr>
              <w:t xml:space="preserve"> </w:t>
            </w:r>
            <w:r>
              <w:rPr>
                <w:rFonts w:ascii="黑体" w:hAnsi="黑体" w:eastAsia="黑体" w:cs="黑体"/>
                <w:spacing w:val="13"/>
                <w:sz w:val="23"/>
                <w:szCs w:val="23"/>
              </w:rPr>
              <w:t>源</w:t>
            </w:r>
            <w:r>
              <w:rPr>
                <w:rFonts w:ascii="黑体" w:hAnsi="黑体" w:eastAsia="黑体" w:cs="黑体"/>
                <w:spacing w:val="107"/>
                <w:sz w:val="23"/>
                <w:szCs w:val="23"/>
              </w:rPr>
              <w:t xml:space="preserve"> </w:t>
            </w:r>
            <w:r>
              <w:rPr>
                <w:rFonts w:ascii="黑体" w:hAnsi="黑体" w:eastAsia="黑体" w:cs="黑体"/>
                <w:spacing w:val="13"/>
                <w:sz w:val="23"/>
                <w:szCs w:val="23"/>
              </w:rPr>
              <w:t>量</w:t>
            </w:r>
          </w:p>
        </w:tc>
        <w:tc>
          <w:tcPr>
            <w:tcW w:w="763" w:type="dxa"/>
            <w:vAlign w:val="top"/>
          </w:tcPr>
          <w:p w14:paraId="3260A7C3">
            <w:pPr>
              <w:spacing w:line="253" w:lineRule="auto"/>
              <w:rPr>
                <w:rFonts w:ascii="Arial"/>
                <w:sz w:val="21"/>
              </w:rPr>
            </w:pPr>
          </w:p>
          <w:p w14:paraId="06CF41BE">
            <w:pPr>
              <w:spacing w:before="75" w:line="230" w:lineRule="auto"/>
              <w:ind w:left="170"/>
              <w:rPr>
                <w:rFonts w:ascii="黑体" w:hAnsi="黑体" w:eastAsia="黑体" w:cs="黑体"/>
                <w:sz w:val="23"/>
                <w:szCs w:val="23"/>
              </w:rPr>
            </w:pPr>
            <w:r>
              <w:rPr>
                <w:rFonts w:ascii="黑体" w:hAnsi="黑体" w:eastAsia="黑体" w:cs="黑体"/>
                <w:spacing w:val="-3"/>
                <w:sz w:val="23"/>
                <w:szCs w:val="23"/>
              </w:rPr>
              <w:t>已设</w:t>
            </w:r>
          </w:p>
          <w:p w14:paraId="02CAAB16">
            <w:pPr>
              <w:spacing w:before="183" w:line="230" w:lineRule="auto"/>
              <w:ind w:left="154"/>
              <w:rPr>
                <w:rFonts w:ascii="黑体" w:hAnsi="黑体" w:eastAsia="黑体" w:cs="黑体"/>
                <w:sz w:val="23"/>
                <w:szCs w:val="23"/>
              </w:rPr>
            </w:pPr>
            <w:r>
              <w:rPr>
                <w:rFonts w:ascii="黑体" w:hAnsi="黑体" w:eastAsia="黑体" w:cs="黑体"/>
                <w:spacing w:val="5"/>
                <w:sz w:val="23"/>
                <w:szCs w:val="23"/>
              </w:rPr>
              <w:t>探矿</w:t>
            </w:r>
          </w:p>
          <w:p w14:paraId="180AC995">
            <w:pPr>
              <w:spacing w:before="179" w:line="382" w:lineRule="auto"/>
              <w:ind w:left="277" w:right="131" w:hanging="124"/>
              <w:rPr>
                <w:rFonts w:ascii="黑体" w:hAnsi="黑体" w:eastAsia="黑体" w:cs="黑体"/>
                <w:sz w:val="23"/>
                <w:szCs w:val="23"/>
              </w:rPr>
            </w:pPr>
            <w:r>
              <w:rPr>
                <w:rFonts w:ascii="黑体" w:hAnsi="黑体" w:eastAsia="黑体" w:cs="黑体"/>
                <w:spacing w:val="6"/>
                <w:sz w:val="23"/>
                <w:szCs w:val="23"/>
              </w:rPr>
              <w:t>权数</w:t>
            </w:r>
            <w:r>
              <w:rPr>
                <w:rFonts w:ascii="黑体" w:hAnsi="黑体" w:eastAsia="黑体" w:cs="黑体"/>
                <w:sz w:val="23"/>
                <w:szCs w:val="23"/>
              </w:rPr>
              <w:t>量</w:t>
            </w:r>
          </w:p>
        </w:tc>
        <w:tc>
          <w:tcPr>
            <w:tcW w:w="763" w:type="dxa"/>
            <w:vAlign w:val="top"/>
          </w:tcPr>
          <w:p w14:paraId="6EA07CA6">
            <w:pPr>
              <w:spacing w:line="253" w:lineRule="auto"/>
              <w:rPr>
                <w:rFonts w:ascii="Arial"/>
                <w:sz w:val="21"/>
              </w:rPr>
            </w:pPr>
          </w:p>
          <w:p w14:paraId="09170D15">
            <w:pPr>
              <w:spacing w:before="75" w:line="230" w:lineRule="auto"/>
              <w:ind w:left="155"/>
              <w:rPr>
                <w:rFonts w:ascii="黑体" w:hAnsi="黑体" w:eastAsia="黑体" w:cs="黑体"/>
                <w:sz w:val="23"/>
                <w:szCs w:val="23"/>
              </w:rPr>
            </w:pPr>
            <w:r>
              <w:rPr>
                <w:rFonts w:ascii="黑体" w:hAnsi="黑体" w:eastAsia="黑体" w:cs="黑体"/>
                <w:spacing w:val="5"/>
                <w:sz w:val="23"/>
                <w:szCs w:val="23"/>
              </w:rPr>
              <w:t>拟设</w:t>
            </w:r>
          </w:p>
          <w:p w14:paraId="799009D3">
            <w:pPr>
              <w:spacing w:before="183" w:line="230" w:lineRule="auto"/>
              <w:ind w:left="154"/>
              <w:rPr>
                <w:rFonts w:ascii="黑体" w:hAnsi="黑体" w:eastAsia="黑体" w:cs="黑体"/>
                <w:sz w:val="23"/>
                <w:szCs w:val="23"/>
              </w:rPr>
            </w:pPr>
            <w:r>
              <w:rPr>
                <w:rFonts w:ascii="黑体" w:hAnsi="黑体" w:eastAsia="黑体" w:cs="黑体"/>
                <w:spacing w:val="5"/>
                <w:sz w:val="23"/>
                <w:szCs w:val="23"/>
              </w:rPr>
              <w:t>探矿</w:t>
            </w:r>
          </w:p>
          <w:p w14:paraId="1C947CBA">
            <w:pPr>
              <w:spacing w:before="179" w:line="382" w:lineRule="auto"/>
              <w:ind w:left="277" w:right="131" w:hanging="124"/>
              <w:rPr>
                <w:rFonts w:ascii="黑体" w:hAnsi="黑体" w:eastAsia="黑体" w:cs="黑体"/>
                <w:sz w:val="23"/>
                <w:szCs w:val="23"/>
              </w:rPr>
            </w:pPr>
            <w:r>
              <w:rPr>
                <w:rFonts w:ascii="黑体" w:hAnsi="黑体" w:eastAsia="黑体" w:cs="黑体"/>
                <w:spacing w:val="6"/>
                <w:sz w:val="23"/>
                <w:szCs w:val="23"/>
              </w:rPr>
              <w:t>权数</w:t>
            </w:r>
            <w:r>
              <w:rPr>
                <w:rFonts w:ascii="黑体" w:hAnsi="黑体" w:eastAsia="黑体" w:cs="黑体"/>
                <w:sz w:val="23"/>
                <w:szCs w:val="23"/>
              </w:rPr>
              <w:t>量</w:t>
            </w:r>
          </w:p>
        </w:tc>
        <w:tc>
          <w:tcPr>
            <w:tcW w:w="743" w:type="dxa"/>
            <w:vAlign w:val="top"/>
          </w:tcPr>
          <w:p w14:paraId="4292E5BB">
            <w:pPr>
              <w:spacing w:line="253" w:lineRule="auto"/>
              <w:rPr>
                <w:rFonts w:ascii="Arial"/>
                <w:sz w:val="21"/>
              </w:rPr>
            </w:pPr>
          </w:p>
          <w:p w14:paraId="2905AFDC">
            <w:pPr>
              <w:spacing w:before="75" w:line="230" w:lineRule="auto"/>
              <w:ind w:left="161"/>
              <w:rPr>
                <w:rFonts w:ascii="黑体" w:hAnsi="黑体" w:eastAsia="黑体" w:cs="黑体"/>
                <w:sz w:val="23"/>
                <w:szCs w:val="23"/>
              </w:rPr>
            </w:pPr>
            <w:r>
              <w:rPr>
                <w:rFonts w:ascii="黑体" w:hAnsi="黑体" w:eastAsia="黑体" w:cs="黑体"/>
                <w:spacing w:val="-3"/>
                <w:sz w:val="23"/>
                <w:szCs w:val="23"/>
              </w:rPr>
              <w:t>已设</w:t>
            </w:r>
          </w:p>
          <w:p w14:paraId="0ADFDFB5">
            <w:pPr>
              <w:spacing w:before="183" w:line="230" w:lineRule="auto"/>
              <w:ind w:left="144"/>
              <w:rPr>
                <w:rFonts w:ascii="黑体" w:hAnsi="黑体" w:eastAsia="黑体" w:cs="黑体"/>
                <w:sz w:val="23"/>
                <w:szCs w:val="23"/>
              </w:rPr>
            </w:pPr>
            <w:r>
              <w:rPr>
                <w:rFonts w:ascii="黑体" w:hAnsi="黑体" w:eastAsia="黑体" w:cs="黑体"/>
                <w:spacing w:val="6"/>
                <w:sz w:val="23"/>
                <w:szCs w:val="23"/>
              </w:rPr>
              <w:t>采矿</w:t>
            </w:r>
          </w:p>
          <w:p w14:paraId="6CD603C6">
            <w:pPr>
              <w:spacing w:before="179" w:line="382" w:lineRule="auto"/>
              <w:ind w:left="268" w:right="121" w:hanging="124"/>
              <w:rPr>
                <w:rFonts w:ascii="黑体" w:hAnsi="黑体" w:eastAsia="黑体" w:cs="黑体"/>
                <w:sz w:val="23"/>
                <w:szCs w:val="23"/>
              </w:rPr>
            </w:pPr>
            <w:r>
              <w:rPr>
                <w:rFonts w:ascii="黑体" w:hAnsi="黑体" w:eastAsia="黑体" w:cs="黑体"/>
                <w:spacing w:val="6"/>
                <w:sz w:val="23"/>
                <w:szCs w:val="23"/>
              </w:rPr>
              <w:t>权数</w:t>
            </w:r>
            <w:r>
              <w:rPr>
                <w:rFonts w:ascii="黑体" w:hAnsi="黑体" w:eastAsia="黑体" w:cs="黑体"/>
                <w:sz w:val="23"/>
                <w:szCs w:val="23"/>
              </w:rPr>
              <w:t>量</w:t>
            </w:r>
          </w:p>
        </w:tc>
        <w:tc>
          <w:tcPr>
            <w:tcW w:w="1089" w:type="dxa"/>
            <w:vAlign w:val="top"/>
          </w:tcPr>
          <w:p w14:paraId="3C9D39C1">
            <w:pPr>
              <w:spacing w:before="99" w:line="230" w:lineRule="auto"/>
              <w:ind w:left="214"/>
              <w:rPr>
                <w:rFonts w:ascii="黑体" w:hAnsi="黑体" w:eastAsia="黑体" w:cs="黑体"/>
                <w:sz w:val="23"/>
                <w:szCs w:val="23"/>
              </w:rPr>
            </w:pPr>
            <w:r>
              <w:rPr>
                <w:rFonts w:ascii="黑体" w:hAnsi="黑体" w:eastAsia="黑体" w:cs="黑体"/>
                <w:spacing w:val="1"/>
                <w:sz w:val="23"/>
                <w:szCs w:val="23"/>
              </w:rPr>
              <w:t>已设采</w:t>
            </w:r>
          </w:p>
          <w:p w14:paraId="4C2F7908">
            <w:pPr>
              <w:spacing w:before="178" w:line="230" w:lineRule="auto"/>
              <w:ind w:left="197"/>
              <w:rPr>
                <w:rFonts w:ascii="黑体" w:hAnsi="黑体" w:eastAsia="黑体" w:cs="黑体"/>
                <w:sz w:val="23"/>
                <w:szCs w:val="23"/>
              </w:rPr>
            </w:pPr>
            <w:r>
              <w:rPr>
                <w:rFonts w:ascii="黑体" w:hAnsi="黑体" w:eastAsia="黑体" w:cs="黑体"/>
                <w:spacing w:val="7"/>
                <w:sz w:val="23"/>
                <w:szCs w:val="23"/>
              </w:rPr>
              <w:t>矿权设</w:t>
            </w:r>
          </w:p>
          <w:p w14:paraId="2FFC8E5E">
            <w:pPr>
              <w:spacing w:before="184" w:line="375" w:lineRule="auto"/>
              <w:ind w:left="140" w:right="111" w:firstLine="60"/>
              <w:rPr>
                <w:rFonts w:ascii="黑体" w:hAnsi="黑体" w:eastAsia="黑体" w:cs="黑体"/>
                <w:sz w:val="23"/>
                <w:szCs w:val="23"/>
              </w:rPr>
            </w:pPr>
            <w:r>
              <w:rPr>
                <w:rFonts w:ascii="黑体" w:hAnsi="黑体" w:eastAsia="黑体" w:cs="黑体"/>
                <w:spacing w:val="6"/>
                <w:sz w:val="23"/>
                <w:szCs w:val="23"/>
              </w:rPr>
              <w:t>计开采规模(万</w:t>
            </w:r>
          </w:p>
          <w:p w14:paraId="4935FE77">
            <w:pPr>
              <w:spacing w:before="1" w:line="231" w:lineRule="auto"/>
              <w:ind w:left="209"/>
              <w:rPr>
                <w:rFonts w:ascii="黑体" w:hAnsi="黑体" w:eastAsia="黑体" w:cs="黑体"/>
                <w:sz w:val="23"/>
                <w:szCs w:val="23"/>
              </w:rPr>
            </w:pPr>
            <w:r>
              <w:rPr>
                <w:rFonts w:ascii="黑体" w:hAnsi="黑体" w:eastAsia="黑体" w:cs="黑体"/>
                <w:spacing w:val="2"/>
                <w:sz w:val="23"/>
                <w:szCs w:val="23"/>
              </w:rPr>
              <w:t>吨/年)</w:t>
            </w:r>
          </w:p>
        </w:tc>
        <w:tc>
          <w:tcPr>
            <w:tcW w:w="772" w:type="dxa"/>
            <w:vAlign w:val="top"/>
          </w:tcPr>
          <w:p w14:paraId="2E4214D8">
            <w:pPr>
              <w:spacing w:line="253" w:lineRule="auto"/>
              <w:rPr>
                <w:rFonts w:ascii="Arial"/>
                <w:sz w:val="21"/>
              </w:rPr>
            </w:pPr>
          </w:p>
          <w:p w14:paraId="5D2642C1">
            <w:pPr>
              <w:spacing w:before="75" w:line="230" w:lineRule="auto"/>
              <w:ind w:left="161"/>
              <w:rPr>
                <w:rFonts w:ascii="黑体" w:hAnsi="黑体" w:eastAsia="黑体" w:cs="黑体"/>
                <w:sz w:val="23"/>
                <w:szCs w:val="23"/>
              </w:rPr>
            </w:pPr>
            <w:r>
              <w:rPr>
                <w:rFonts w:ascii="黑体" w:hAnsi="黑体" w:eastAsia="黑体" w:cs="黑体"/>
                <w:spacing w:val="5"/>
                <w:sz w:val="23"/>
                <w:szCs w:val="23"/>
              </w:rPr>
              <w:t>拟设</w:t>
            </w:r>
          </w:p>
          <w:p w14:paraId="1A083B58">
            <w:pPr>
              <w:spacing w:before="183" w:line="230" w:lineRule="auto"/>
              <w:ind w:left="159"/>
              <w:rPr>
                <w:rFonts w:ascii="黑体" w:hAnsi="黑体" w:eastAsia="黑体" w:cs="黑体"/>
                <w:sz w:val="23"/>
                <w:szCs w:val="23"/>
              </w:rPr>
            </w:pPr>
            <w:r>
              <w:rPr>
                <w:rFonts w:ascii="黑体" w:hAnsi="黑体" w:eastAsia="黑体" w:cs="黑体"/>
                <w:spacing w:val="6"/>
                <w:sz w:val="23"/>
                <w:szCs w:val="23"/>
              </w:rPr>
              <w:t>采矿</w:t>
            </w:r>
          </w:p>
          <w:p w14:paraId="10E167F6">
            <w:pPr>
              <w:spacing w:before="179" w:line="382" w:lineRule="auto"/>
              <w:ind w:left="283" w:right="134" w:hanging="124"/>
              <w:rPr>
                <w:rFonts w:ascii="黑体" w:hAnsi="黑体" w:eastAsia="黑体" w:cs="黑体"/>
                <w:sz w:val="23"/>
                <w:szCs w:val="23"/>
              </w:rPr>
            </w:pPr>
            <w:r>
              <w:rPr>
                <w:rFonts w:ascii="黑体" w:hAnsi="黑体" w:eastAsia="黑体" w:cs="黑体"/>
                <w:spacing w:val="6"/>
                <w:sz w:val="23"/>
                <w:szCs w:val="23"/>
              </w:rPr>
              <w:t>权数</w:t>
            </w:r>
            <w:r>
              <w:rPr>
                <w:rFonts w:ascii="黑体" w:hAnsi="黑体" w:eastAsia="黑体" w:cs="黑体"/>
                <w:sz w:val="23"/>
                <w:szCs w:val="23"/>
              </w:rPr>
              <w:t>量</w:t>
            </w:r>
          </w:p>
        </w:tc>
        <w:tc>
          <w:tcPr>
            <w:tcW w:w="1146" w:type="dxa"/>
            <w:vAlign w:val="top"/>
          </w:tcPr>
          <w:p w14:paraId="269F66A0">
            <w:pPr>
              <w:spacing w:before="99" w:line="230" w:lineRule="auto"/>
              <w:ind w:left="229"/>
              <w:rPr>
                <w:rFonts w:ascii="黑体" w:hAnsi="黑体" w:eastAsia="黑体" w:cs="黑体"/>
                <w:sz w:val="23"/>
                <w:szCs w:val="23"/>
              </w:rPr>
            </w:pPr>
            <w:r>
              <w:rPr>
                <w:rFonts w:ascii="黑体" w:hAnsi="黑体" w:eastAsia="黑体" w:cs="黑体"/>
                <w:spacing w:val="6"/>
                <w:sz w:val="23"/>
                <w:szCs w:val="23"/>
              </w:rPr>
              <w:t>拟设采</w:t>
            </w:r>
          </w:p>
          <w:p w14:paraId="19FD2D8A">
            <w:pPr>
              <w:spacing w:before="178" w:line="230" w:lineRule="auto"/>
              <w:ind w:left="227"/>
              <w:rPr>
                <w:rFonts w:ascii="黑体" w:hAnsi="黑体" w:eastAsia="黑体" w:cs="黑体"/>
                <w:sz w:val="23"/>
                <w:szCs w:val="23"/>
              </w:rPr>
            </w:pPr>
            <w:r>
              <w:rPr>
                <w:rFonts w:ascii="黑体" w:hAnsi="黑体" w:eastAsia="黑体" w:cs="黑体"/>
                <w:spacing w:val="7"/>
                <w:sz w:val="23"/>
                <w:szCs w:val="23"/>
              </w:rPr>
              <w:t>矿权设</w:t>
            </w:r>
          </w:p>
          <w:p w14:paraId="4E0649E8">
            <w:pPr>
              <w:spacing w:before="184" w:line="375" w:lineRule="auto"/>
              <w:ind w:left="169" w:right="138" w:firstLine="60"/>
              <w:rPr>
                <w:rFonts w:ascii="黑体" w:hAnsi="黑体" w:eastAsia="黑体" w:cs="黑体"/>
                <w:sz w:val="23"/>
                <w:szCs w:val="23"/>
              </w:rPr>
            </w:pPr>
            <w:r>
              <w:rPr>
                <w:rFonts w:ascii="黑体" w:hAnsi="黑体" w:eastAsia="黑体" w:cs="黑体"/>
                <w:spacing w:val="6"/>
                <w:sz w:val="23"/>
                <w:szCs w:val="23"/>
              </w:rPr>
              <w:t>计开采规模(万</w:t>
            </w:r>
          </w:p>
          <w:p w14:paraId="3CF2BC3B">
            <w:pPr>
              <w:spacing w:before="1" w:line="231" w:lineRule="auto"/>
              <w:ind w:left="239"/>
              <w:rPr>
                <w:rFonts w:ascii="黑体" w:hAnsi="黑体" w:eastAsia="黑体" w:cs="黑体"/>
                <w:sz w:val="23"/>
                <w:szCs w:val="23"/>
              </w:rPr>
            </w:pPr>
            <w:r>
              <w:rPr>
                <w:rFonts w:ascii="黑体" w:hAnsi="黑体" w:eastAsia="黑体" w:cs="黑体"/>
                <w:spacing w:val="2"/>
                <w:sz w:val="23"/>
                <w:szCs w:val="23"/>
              </w:rPr>
              <w:t>吨/年)</w:t>
            </w:r>
          </w:p>
        </w:tc>
        <w:tc>
          <w:tcPr>
            <w:tcW w:w="681" w:type="dxa"/>
            <w:textDirection w:val="tbRlV"/>
            <w:vAlign w:val="top"/>
          </w:tcPr>
          <w:p w14:paraId="4BF6BA68">
            <w:pPr>
              <w:spacing w:before="209" w:line="215" w:lineRule="auto"/>
              <w:ind w:left="801"/>
              <w:rPr>
                <w:rFonts w:ascii="黑体" w:hAnsi="黑体" w:eastAsia="黑体" w:cs="黑体"/>
                <w:sz w:val="23"/>
                <w:szCs w:val="23"/>
              </w:rPr>
            </w:pPr>
            <w:r>
              <w:rPr>
                <w:rFonts w:ascii="黑体" w:hAnsi="黑体" w:eastAsia="黑体" w:cs="黑体"/>
                <w:spacing w:val="13"/>
                <w:sz w:val="23"/>
                <w:szCs w:val="23"/>
              </w:rPr>
              <w:t>备</w:t>
            </w:r>
            <w:r>
              <w:rPr>
                <w:rFonts w:ascii="黑体" w:hAnsi="黑体" w:eastAsia="黑体" w:cs="黑体"/>
                <w:spacing w:val="107"/>
                <w:sz w:val="23"/>
                <w:szCs w:val="23"/>
              </w:rPr>
              <w:t xml:space="preserve"> </w:t>
            </w:r>
            <w:r>
              <w:rPr>
                <w:rFonts w:ascii="黑体" w:hAnsi="黑体" w:eastAsia="黑体" w:cs="黑体"/>
                <w:spacing w:val="13"/>
                <w:sz w:val="23"/>
                <w:szCs w:val="23"/>
              </w:rPr>
              <w:t>注</w:t>
            </w:r>
          </w:p>
        </w:tc>
      </w:tr>
      <w:tr w14:paraId="2243C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083" w:hRule="atLeast"/>
        </w:trPr>
        <w:tc>
          <w:tcPr>
            <w:tcW w:w="470" w:type="dxa"/>
            <w:vAlign w:val="top"/>
          </w:tcPr>
          <w:p w14:paraId="7258B9C4">
            <w:pPr>
              <w:spacing w:line="279" w:lineRule="auto"/>
              <w:rPr>
                <w:rFonts w:ascii="Arial"/>
                <w:sz w:val="21"/>
              </w:rPr>
            </w:pPr>
          </w:p>
          <w:p w14:paraId="799C36F3">
            <w:pPr>
              <w:spacing w:line="279" w:lineRule="auto"/>
              <w:rPr>
                <w:rFonts w:ascii="Arial"/>
                <w:sz w:val="21"/>
              </w:rPr>
            </w:pPr>
          </w:p>
          <w:p w14:paraId="03382FEA">
            <w:pPr>
              <w:spacing w:line="279" w:lineRule="auto"/>
              <w:rPr>
                <w:rFonts w:ascii="Arial"/>
                <w:sz w:val="21"/>
              </w:rPr>
            </w:pPr>
          </w:p>
          <w:p w14:paraId="6303A8E5">
            <w:pPr>
              <w:spacing w:line="279" w:lineRule="auto"/>
              <w:rPr>
                <w:rFonts w:ascii="Arial"/>
                <w:sz w:val="21"/>
              </w:rPr>
            </w:pPr>
          </w:p>
          <w:p w14:paraId="44F1B4F5">
            <w:pPr>
              <w:spacing w:line="280" w:lineRule="auto"/>
              <w:rPr>
                <w:rFonts w:ascii="Arial"/>
                <w:sz w:val="21"/>
              </w:rPr>
            </w:pPr>
          </w:p>
          <w:p w14:paraId="1B9EB8F7">
            <w:pPr>
              <w:spacing w:before="58" w:line="238" w:lineRule="exact"/>
              <w:ind w:left="215"/>
              <w:rPr>
                <w:rFonts w:ascii="楷体" w:hAnsi="楷体" w:eastAsia="楷体" w:cs="楷体"/>
                <w:sz w:val="18"/>
                <w:szCs w:val="18"/>
              </w:rPr>
            </w:pPr>
            <w:r>
              <w:rPr>
                <w:rFonts w:ascii="楷体" w:hAnsi="楷体" w:eastAsia="楷体" w:cs="楷体"/>
                <w:position w:val="1"/>
                <w:sz w:val="18"/>
                <w:szCs w:val="18"/>
              </w:rPr>
              <w:t>1</w:t>
            </w:r>
          </w:p>
        </w:tc>
        <w:tc>
          <w:tcPr>
            <w:tcW w:w="499" w:type="dxa"/>
            <w:vAlign w:val="top"/>
          </w:tcPr>
          <w:p w14:paraId="7B5A341D">
            <w:pPr>
              <w:spacing w:line="251" w:lineRule="auto"/>
              <w:rPr>
                <w:rFonts w:ascii="Arial"/>
                <w:sz w:val="21"/>
              </w:rPr>
            </w:pPr>
          </w:p>
          <w:p w14:paraId="08CB7831">
            <w:pPr>
              <w:spacing w:line="251" w:lineRule="auto"/>
              <w:rPr>
                <w:rFonts w:ascii="Arial"/>
                <w:sz w:val="21"/>
              </w:rPr>
            </w:pPr>
          </w:p>
          <w:p w14:paraId="4B0BD398">
            <w:pPr>
              <w:spacing w:line="251" w:lineRule="auto"/>
              <w:rPr>
                <w:rFonts w:ascii="Arial"/>
                <w:sz w:val="21"/>
              </w:rPr>
            </w:pPr>
          </w:p>
          <w:p w14:paraId="624FDF86">
            <w:pPr>
              <w:spacing w:line="252" w:lineRule="auto"/>
              <w:rPr>
                <w:rFonts w:ascii="Arial"/>
                <w:sz w:val="21"/>
              </w:rPr>
            </w:pPr>
          </w:p>
          <w:p w14:paraId="2B3B89D8">
            <w:pPr>
              <w:spacing w:line="252" w:lineRule="auto"/>
              <w:rPr>
                <w:rFonts w:ascii="Arial"/>
                <w:sz w:val="21"/>
              </w:rPr>
            </w:pPr>
          </w:p>
          <w:p w14:paraId="36E3557F">
            <w:pPr>
              <w:spacing w:before="59" w:line="239" w:lineRule="auto"/>
              <w:ind w:left="123"/>
              <w:rPr>
                <w:rFonts w:ascii="楷体" w:hAnsi="楷体" w:eastAsia="楷体" w:cs="楷体"/>
                <w:sz w:val="18"/>
                <w:szCs w:val="18"/>
              </w:rPr>
            </w:pPr>
            <w:r>
              <w:rPr>
                <w:rFonts w:ascii="楷体" w:hAnsi="楷体" w:eastAsia="楷体" w:cs="楷体"/>
                <w:spacing w:val="-2"/>
                <w:sz w:val="18"/>
                <w:szCs w:val="18"/>
              </w:rPr>
              <w:t>GK0</w:t>
            </w:r>
          </w:p>
          <w:p w14:paraId="29DE41F0">
            <w:pPr>
              <w:spacing w:before="45" w:line="239" w:lineRule="auto"/>
              <w:ind w:left="183"/>
              <w:rPr>
                <w:rFonts w:ascii="楷体" w:hAnsi="楷体" w:eastAsia="楷体" w:cs="楷体"/>
                <w:sz w:val="18"/>
                <w:szCs w:val="18"/>
              </w:rPr>
            </w:pPr>
            <w:r>
              <w:rPr>
                <w:rFonts w:ascii="楷体" w:hAnsi="楷体" w:eastAsia="楷体" w:cs="楷体"/>
                <w:spacing w:val="-10"/>
                <w:sz w:val="18"/>
                <w:szCs w:val="18"/>
              </w:rPr>
              <w:t>01</w:t>
            </w:r>
          </w:p>
        </w:tc>
        <w:tc>
          <w:tcPr>
            <w:tcW w:w="633" w:type="dxa"/>
            <w:vAlign w:val="top"/>
          </w:tcPr>
          <w:p w14:paraId="159755A5">
            <w:pPr>
              <w:spacing w:line="281" w:lineRule="auto"/>
              <w:rPr>
                <w:rFonts w:ascii="Arial"/>
                <w:sz w:val="21"/>
              </w:rPr>
            </w:pPr>
          </w:p>
          <w:p w14:paraId="6FD5D400">
            <w:pPr>
              <w:spacing w:line="282" w:lineRule="auto"/>
              <w:rPr>
                <w:rFonts w:ascii="Arial"/>
                <w:sz w:val="21"/>
              </w:rPr>
            </w:pPr>
          </w:p>
          <w:p w14:paraId="3F20A53B">
            <w:pPr>
              <w:spacing w:before="59" w:line="287" w:lineRule="auto"/>
              <w:ind w:left="152" w:right="128" w:firstLine="2"/>
              <w:jc w:val="both"/>
              <w:rPr>
                <w:rFonts w:ascii="楷体" w:hAnsi="楷体" w:eastAsia="楷体" w:cs="楷体"/>
                <w:sz w:val="18"/>
                <w:szCs w:val="18"/>
              </w:rPr>
            </w:pPr>
            <w:r>
              <w:rPr>
                <w:rFonts w:ascii="楷体" w:hAnsi="楷体" w:eastAsia="楷体" w:cs="楷体"/>
                <w:spacing w:val="-8"/>
                <w:sz w:val="18"/>
                <w:szCs w:val="18"/>
              </w:rPr>
              <w:t>四川</w:t>
            </w:r>
            <w:r>
              <w:rPr>
                <w:rFonts w:ascii="楷体" w:hAnsi="楷体" w:eastAsia="楷体" w:cs="楷体"/>
                <w:spacing w:val="-7"/>
                <w:sz w:val="18"/>
                <w:szCs w:val="18"/>
              </w:rPr>
              <w:t>盆地</w:t>
            </w:r>
            <w:r>
              <w:rPr>
                <w:rFonts w:ascii="楷体" w:hAnsi="楷体" w:eastAsia="楷体" w:cs="楷体"/>
                <w:spacing w:val="30"/>
                <w:w w:val="125"/>
                <w:sz w:val="18"/>
                <w:szCs w:val="18"/>
              </w:rPr>
              <w:t>绵</w:t>
            </w:r>
            <w:r>
              <w:rPr>
                <w:rFonts w:ascii="楷体" w:hAnsi="楷体" w:eastAsia="楷体" w:cs="楷体"/>
                <w:spacing w:val="16"/>
                <w:sz w:val="18"/>
                <w:szCs w:val="18"/>
              </w:rPr>
              <w:t>阳-</w:t>
            </w:r>
            <w:r>
              <w:rPr>
                <w:rFonts w:ascii="楷体" w:hAnsi="楷体" w:eastAsia="楷体" w:cs="楷体"/>
                <w:spacing w:val="30"/>
                <w:w w:val="125"/>
                <w:sz w:val="18"/>
                <w:szCs w:val="18"/>
              </w:rPr>
              <w:t>成</w:t>
            </w:r>
            <w:r>
              <w:rPr>
                <w:rFonts w:ascii="楷体" w:hAnsi="楷体" w:eastAsia="楷体" w:cs="楷体"/>
                <w:spacing w:val="16"/>
                <w:sz w:val="18"/>
                <w:szCs w:val="18"/>
              </w:rPr>
              <w:t>都-</w:t>
            </w:r>
            <w:r>
              <w:rPr>
                <w:rFonts w:ascii="楷体" w:hAnsi="楷体" w:eastAsia="楷体" w:cs="楷体"/>
                <w:spacing w:val="-7"/>
                <w:sz w:val="18"/>
                <w:szCs w:val="18"/>
              </w:rPr>
              <w:t>南充</w:t>
            </w:r>
          </w:p>
        </w:tc>
        <w:tc>
          <w:tcPr>
            <w:tcW w:w="1166" w:type="dxa"/>
            <w:vAlign w:val="top"/>
          </w:tcPr>
          <w:p w14:paraId="255E9469">
            <w:pPr>
              <w:spacing w:before="61" w:line="217" w:lineRule="auto"/>
              <w:ind w:left="142"/>
              <w:rPr>
                <w:rFonts w:ascii="楷体" w:hAnsi="楷体" w:eastAsia="楷体" w:cs="楷体"/>
                <w:sz w:val="18"/>
                <w:szCs w:val="18"/>
              </w:rPr>
            </w:pPr>
            <w:r>
              <w:rPr>
                <w:rFonts w:ascii="楷体" w:hAnsi="楷体" w:eastAsia="楷体" w:cs="楷体"/>
                <w:spacing w:val="-2"/>
                <w:sz w:val="18"/>
                <w:szCs w:val="18"/>
              </w:rPr>
              <w:t>成都市、德</w:t>
            </w:r>
          </w:p>
          <w:p w14:paraId="2D0F1392">
            <w:pPr>
              <w:spacing w:before="69" w:line="286" w:lineRule="auto"/>
              <w:ind w:left="121" w:right="67" w:firstLine="39"/>
              <w:jc w:val="both"/>
              <w:rPr>
                <w:rFonts w:ascii="楷体" w:hAnsi="楷体" w:eastAsia="楷体" w:cs="楷体"/>
                <w:sz w:val="18"/>
                <w:szCs w:val="18"/>
              </w:rPr>
            </w:pPr>
            <w:r>
              <w:rPr>
                <w:rFonts w:ascii="楷体" w:hAnsi="楷体" w:eastAsia="楷体" w:cs="楷体"/>
                <w:spacing w:val="-5"/>
                <w:sz w:val="18"/>
                <w:szCs w:val="18"/>
              </w:rPr>
              <w:t>阳市、绵阳</w:t>
            </w:r>
            <w:r>
              <w:rPr>
                <w:rFonts w:ascii="楷体" w:hAnsi="楷体" w:eastAsia="楷体" w:cs="楷体"/>
                <w:spacing w:val="-18"/>
                <w:sz w:val="18"/>
                <w:szCs w:val="18"/>
              </w:rPr>
              <w:t>市、广元市、</w:t>
            </w:r>
            <w:r>
              <w:rPr>
                <w:rFonts w:ascii="楷体" w:hAnsi="楷体" w:eastAsia="楷体" w:cs="楷体"/>
                <w:spacing w:val="3"/>
                <w:sz w:val="18"/>
                <w:szCs w:val="18"/>
              </w:rPr>
              <w:t>眉山市、遂</w:t>
            </w:r>
          </w:p>
          <w:p w14:paraId="1C05CC0D">
            <w:pPr>
              <w:spacing w:before="5" w:line="286" w:lineRule="auto"/>
              <w:ind w:left="121" w:right="67" w:firstLine="32"/>
              <w:jc w:val="both"/>
              <w:rPr>
                <w:rFonts w:ascii="楷体" w:hAnsi="楷体" w:eastAsia="楷体" w:cs="楷体"/>
                <w:sz w:val="18"/>
                <w:szCs w:val="18"/>
              </w:rPr>
            </w:pPr>
            <w:r>
              <w:rPr>
                <w:rFonts w:ascii="楷体" w:hAnsi="楷体" w:eastAsia="楷体" w:cs="楷体"/>
                <w:spacing w:val="-4"/>
                <w:sz w:val="18"/>
                <w:szCs w:val="18"/>
              </w:rPr>
              <w:t>宁市、资阳</w:t>
            </w:r>
            <w:r>
              <w:rPr>
                <w:rFonts w:ascii="楷体" w:hAnsi="楷体" w:eastAsia="楷体" w:cs="楷体"/>
                <w:spacing w:val="-18"/>
                <w:sz w:val="18"/>
                <w:szCs w:val="18"/>
              </w:rPr>
              <w:t>市、广安市、</w:t>
            </w:r>
            <w:r>
              <w:rPr>
                <w:rFonts w:ascii="楷体" w:hAnsi="楷体" w:eastAsia="楷体" w:cs="楷体"/>
                <w:sz w:val="18"/>
                <w:szCs w:val="18"/>
              </w:rPr>
              <w:t>南充市、</w:t>
            </w:r>
            <w:r>
              <w:rPr>
                <w:rFonts w:ascii="楷体" w:hAnsi="楷体" w:eastAsia="楷体" w:cs="楷体"/>
                <w:spacing w:val="-49"/>
                <w:sz w:val="18"/>
                <w:szCs w:val="18"/>
              </w:rPr>
              <w:t xml:space="preserve"> </w:t>
            </w:r>
            <w:r>
              <w:rPr>
                <w:rFonts w:ascii="楷体" w:hAnsi="楷体" w:eastAsia="楷体" w:cs="楷体"/>
                <w:sz w:val="18"/>
                <w:szCs w:val="18"/>
              </w:rPr>
              <w:t>乐</w:t>
            </w:r>
          </w:p>
          <w:p w14:paraId="6734E769">
            <w:pPr>
              <w:spacing w:before="3" w:line="220" w:lineRule="auto"/>
              <w:ind w:left="160"/>
              <w:rPr>
                <w:rFonts w:ascii="楷体" w:hAnsi="楷体" w:eastAsia="楷体" w:cs="楷体"/>
                <w:sz w:val="18"/>
                <w:szCs w:val="18"/>
              </w:rPr>
            </w:pPr>
            <w:r>
              <w:rPr>
                <w:rFonts w:ascii="楷体" w:hAnsi="楷体" w:eastAsia="楷体" w:cs="楷体"/>
                <w:spacing w:val="-5"/>
                <w:sz w:val="18"/>
                <w:szCs w:val="18"/>
              </w:rPr>
              <w:t>山市、达州</w:t>
            </w:r>
          </w:p>
          <w:p w14:paraId="4EAB73BA">
            <w:pPr>
              <w:spacing w:before="64" w:line="220" w:lineRule="auto"/>
              <w:ind w:left="121"/>
              <w:rPr>
                <w:rFonts w:ascii="楷体" w:hAnsi="楷体" w:eastAsia="楷体" w:cs="楷体"/>
                <w:sz w:val="18"/>
                <w:szCs w:val="18"/>
              </w:rPr>
            </w:pPr>
            <w:r>
              <w:rPr>
                <w:rFonts w:ascii="楷体" w:hAnsi="楷体" w:eastAsia="楷体" w:cs="楷体"/>
                <w:spacing w:val="-13"/>
                <w:sz w:val="18"/>
                <w:szCs w:val="18"/>
              </w:rPr>
              <w:t>市、雅安市、</w:t>
            </w:r>
          </w:p>
          <w:p w14:paraId="5BC355B6">
            <w:pPr>
              <w:spacing w:before="63" w:line="219" w:lineRule="auto"/>
              <w:ind w:left="159"/>
              <w:rPr>
                <w:rFonts w:ascii="楷体" w:hAnsi="楷体" w:eastAsia="楷体" w:cs="楷体"/>
                <w:sz w:val="18"/>
                <w:szCs w:val="18"/>
              </w:rPr>
            </w:pPr>
            <w:r>
              <w:rPr>
                <w:rFonts w:ascii="楷体" w:hAnsi="楷体" w:eastAsia="楷体" w:cs="楷体"/>
                <w:spacing w:val="-2"/>
                <w:sz w:val="18"/>
                <w:szCs w:val="18"/>
              </w:rPr>
              <w:t>巴中市、阿</w:t>
            </w:r>
          </w:p>
          <w:p w14:paraId="56999629">
            <w:pPr>
              <w:spacing w:before="70" w:line="214" w:lineRule="auto"/>
              <w:ind w:left="410"/>
              <w:rPr>
                <w:rFonts w:ascii="楷体" w:hAnsi="楷体" w:eastAsia="楷体" w:cs="楷体"/>
                <w:sz w:val="18"/>
                <w:szCs w:val="18"/>
              </w:rPr>
            </w:pPr>
            <w:r>
              <w:rPr>
                <w:rFonts w:ascii="楷体" w:hAnsi="楷体" w:eastAsia="楷体" w:cs="楷体"/>
                <w:spacing w:val="-2"/>
                <w:sz w:val="18"/>
                <w:szCs w:val="18"/>
              </w:rPr>
              <w:t>坝州</w:t>
            </w:r>
          </w:p>
        </w:tc>
        <w:tc>
          <w:tcPr>
            <w:tcW w:w="926" w:type="dxa"/>
            <w:vAlign w:val="top"/>
          </w:tcPr>
          <w:p w14:paraId="3FC35A86">
            <w:pPr>
              <w:spacing w:line="279" w:lineRule="auto"/>
              <w:rPr>
                <w:rFonts w:ascii="Arial"/>
                <w:sz w:val="21"/>
              </w:rPr>
            </w:pPr>
          </w:p>
          <w:p w14:paraId="7FFC67FE">
            <w:pPr>
              <w:spacing w:line="279" w:lineRule="auto"/>
              <w:rPr>
                <w:rFonts w:ascii="Arial"/>
                <w:sz w:val="21"/>
              </w:rPr>
            </w:pPr>
          </w:p>
          <w:p w14:paraId="7D7DE7C8">
            <w:pPr>
              <w:spacing w:line="279" w:lineRule="auto"/>
              <w:rPr>
                <w:rFonts w:ascii="Arial"/>
                <w:sz w:val="21"/>
              </w:rPr>
            </w:pPr>
          </w:p>
          <w:p w14:paraId="12E08D3E">
            <w:pPr>
              <w:spacing w:line="279" w:lineRule="auto"/>
              <w:rPr>
                <w:rFonts w:ascii="Arial"/>
                <w:sz w:val="21"/>
              </w:rPr>
            </w:pPr>
          </w:p>
          <w:p w14:paraId="02F4B98B">
            <w:pPr>
              <w:spacing w:line="280" w:lineRule="auto"/>
              <w:rPr>
                <w:rFonts w:ascii="Arial"/>
                <w:sz w:val="21"/>
              </w:rPr>
            </w:pPr>
          </w:p>
          <w:p w14:paraId="63D164E4">
            <w:pPr>
              <w:spacing w:before="58" w:line="241" w:lineRule="auto"/>
              <w:ind w:left="168"/>
              <w:rPr>
                <w:rFonts w:ascii="楷体" w:hAnsi="楷体" w:eastAsia="楷体" w:cs="楷体"/>
                <w:sz w:val="18"/>
                <w:szCs w:val="18"/>
              </w:rPr>
            </w:pPr>
            <w:r>
              <w:rPr>
                <w:rFonts w:ascii="楷体" w:hAnsi="楷体" w:eastAsia="楷体" w:cs="楷体"/>
                <w:spacing w:val="-3"/>
                <w:sz w:val="18"/>
                <w:szCs w:val="18"/>
              </w:rPr>
              <w:t>1219.68</w:t>
            </w:r>
          </w:p>
        </w:tc>
        <w:tc>
          <w:tcPr>
            <w:tcW w:w="2648" w:type="dxa"/>
            <w:vAlign w:val="top"/>
          </w:tcPr>
          <w:p w14:paraId="24B80649">
            <w:pPr>
              <w:rPr>
                <w:rFonts w:ascii="Arial"/>
                <w:sz w:val="21"/>
              </w:rPr>
            </w:pPr>
          </w:p>
        </w:tc>
        <w:tc>
          <w:tcPr>
            <w:tcW w:w="720" w:type="dxa"/>
            <w:vAlign w:val="top"/>
          </w:tcPr>
          <w:p w14:paraId="62355BE4">
            <w:pPr>
              <w:spacing w:line="251" w:lineRule="auto"/>
              <w:rPr>
                <w:rFonts w:ascii="Arial"/>
                <w:sz w:val="21"/>
              </w:rPr>
            </w:pPr>
          </w:p>
          <w:p w14:paraId="754032B3">
            <w:pPr>
              <w:spacing w:line="251" w:lineRule="auto"/>
              <w:rPr>
                <w:rFonts w:ascii="Arial"/>
                <w:sz w:val="21"/>
              </w:rPr>
            </w:pPr>
          </w:p>
          <w:p w14:paraId="62459EF1">
            <w:pPr>
              <w:spacing w:line="251" w:lineRule="auto"/>
              <w:rPr>
                <w:rFonts w:ascii="Arial"/>
                <w:sz w:val="21"/>
              </w:rPr>
            </w:pPr>
          </w:p>
          <w:p w14:paraId="3687DDD0">
            <w:pPr>
              <w:spacing w:line="251" w:lineRule="auto"/>
              <w:rPr>
                <w:rFonts w:ascii="Arial"/>
                <w:sz w:val="21"/>
              </w:rPr>
            </w:pPr>
          </w:p>
          <w:p w14:paraId="3604934E">
            <w:pPr>
              <w:spacing w:line="252" w:lineRule="auto"/>
              <w:rPr>
                <w:rFonts w:ascii="Arial"/>
                <w:sz w:val="21"/>
              </w:rPr>
            </w:pPr>
          </w:p>
          <w:p w14:paraId="0A8F1554">
            <w:pPr>
              <w:spacing w:before="59" w:line="290" w:lineRule="auto"/>
              <w:ind w:left="291" w:right="166" w:hanging="96"/>
              <w:rPr>
                <w:rFonts w:ascii="楷体" w:hAnsi="楷体" w:eastAsia="楷体" w:cs="楷体"/>
                <w:sz w:val="18"/>
                <w:szCs w:val="18"/>
              </w:rPr>
            </w:pPr>
            <w:r>
              <w:rPr>
                <w:rFonts w:ascii="楷体" w:hAnsi="楷体" w:eastAsia="楷体" w:cs="楷体"/>
                <w:spacing w:val="-4"/>
                <w:sz w:val="18"/>
                <w:szCs w:val="18"/>
              </w:rPr>
              <w:t>天然</w:t>
            </w:r>
            <w:r>
              <w:rPr>
                <w:rFonts w:ascii="楷体" w:hAnsi="楷体" w:eastAsia="楷体" w:cs="楷体"/>
                <w:sz w:val="18"/>
                <w:szCs w:val="18"/>
              </w:rPr>
              <w:t>气</w:t>
            </w:r>
          </w:p>
        </w:tc>
        <w:tc>
          <w:tcPr>
            <w:tcW w:w="609" w:type="dxa"/>
            <w:vAlign w:val="top"/>
          </w:tcPr>
          <w:p w14:paraId="5CF0FDC9">
            <w:pPr>
              <w:rPr>
                <w:rFonts w:ascii="Arial"/>
                <w:sz w:val="21"/>
              </w:rPr>
            </w:pPr>
          </w:p>
        </w:tc>
        <w:tc>
          <w:tcPr>
            <w:tcW w:w="547" w:type="dxa"/>
            <w:vAlign w:val="top"/>
          </w:tcPr>
          <w:p w14:paraId="52BF639D">
            <w:pPr>
              <w:rPr>
                <w:rFonts w:ascii="Arial"/>
                <w:sz w:val="21"/>
              </w:rPr>
            </w:pPr>
          </w:p>
        </w:tc>
        <w:tc>
          <w:tcPr>
            <w:tcW w:w="763" w:type="dxa"/>
            <w:vAlign w:val="top"/>
          </w:tcPr>
          <w:p w14:paraId="322F2FAB">
            <w:pPr>
              <w:spacing w:line="279" w:lineRule="auto"/>
              <w:rPr>
                <w:rFonts w:ascii="Arial"/>
                <w:sz w:val="21"/>
              </w:rPr>
            </w:pPr>
          </w:p>
          <w:p w14:paraId="373E13B2">
            <w:pPr>
              <w:spacing w:line="279" w:lineRule="auto"/>
              <w:rPr>
                <w:rFonts w:ascii="Arial"/>
                <w:sz w:val="21"/>
              </w:rPr>
            </w:pPr>
          </w:p>
          <w:p w14:paraId="1C145AA0">
            <w:pPr>
              <w:spacing w:line="279" w:lineRule="auto"/>
              <w:rPr>
                <w:rFonts w:ascii="Arial"/>
                <w:sz w:val="21"/>
              </w:rPr>
            </w:pPr>
          </w:p>
          <w:p w14:paraId="495FD6D6">
            <w:pPr>
              <w:spacing w:line="279" w:lineRule="auto"/>
              <w:rPr>
                <w:rFonts w:ascii="Arial"/>
                <w:sz w:val="21"/>
              </w:rPr>
            </w:pPr>
          </w:p>
          <w:p w14:paraId="73D97F99">
            <w:pPr>
              <w:spacing w:line="280" w:lineRule="auto"/>
              <w:rPr>
                <w:rFonts w:ascii="Arial"/>
                <w:sz w:val="21"/>
              </w:rPr>
            </w:pPr>
          </w:p>
          <w:p w14:paraId="03E8C2E8">
            <w:pPr>
              <w:spacing w:before="58" w:line="241" w:lineRule="auto"/>
              <w:ind w:left="313"/>
              <w:rPr>
                <w:rFonts w:ascii="楷体" w:hAnsi="楷体" w:eastAsia="楷体" w:cs="楷体"/>
                <w:sz w:val="18"/>
                <w:szCs w:val="18"/>
              </w:rPr>
            </w:pPr>
            <w:r>
              <w:rPr>
                <w:rFonts w:ascii="楷体" w:hAnsi="楷体" w:eastAsia="楷体" w:cs="楷体"/>
                <w:spacing w:val="-9"/>
                <w:sz w:val="18"/>
                <w:szCs w:val="18"/>
              </w:rPr>
              <w:t>16</w:t>
            </w:r>
          </w:p>
        </w:tc>
        <w:tc>
          <w:tcPr>
            <w:tcW w:w="763" w:type="dxa"/>
            <w:vAlign w:val="top"/>
          </w:tcPr>
          <w:p w14:paraId="7A91A223">
            <w:pPr>
              <w:rPr>
                <w:rFonts w:ascii="Arial"/>
                <w:sz w:val="21"/>
              </w:rPr>
            </w:pPr>
          </w:p>
        </w:tc>
        <w:tc>
          <w:tcPr>
            <w:tcW w:w="743" w:type="dxa"/>
            <w:vAlign w:val="top"/>
          </w:tcPr>
          <w:p w14:paraId="2B4F3B12">
            <w:pPr>
              <w:spacing w:line="279" w:lineRule="auto"/>
              <w:rPr>
                <w:rFonts w:ascii="Arial"/>
                <w:sz w:val="21"/>
              </w:rPr>
            </w:pPr>
          </w:p>
          <w:p w14:paraId="04FD406C">
            <w:pPr>
              <w:spacing w:line="279" w:lineRule="auto"/>
              <w:rPr>
                <w:rFonts w:ascii="Arial"/>
                <w:sz w:val="21"/>
              </w:rPr>
            </w:pPr>
          </w:p>
          <w:p w14:paraId="1B1782D9">
            <w:pPr>
              <w:spacing w:line="279" w:lineRule="auto"/>
              <w:rPr>
                <w:rFonts w:ascii="Arial"/>
                <w:sz w:val="21"/>
              </w:rPr>
            </w:pPr>
          </w:p>
          <w:p w14:paraId="10E951B2">
            <w:pPr>
              <w:spacing w:line="279" w:lineRule="auto"/>
              <w:rPr>
                <w:rFonts w:ascii="Arial"/>
                <w:sz w:val="21"/>
              </w:rPr>
            </w:pPr>
          </w:p>
          <w:p w14:paraId="5E0F7180">
            <w:pPr>
              <w:spacing w:line="280" w:lineRule="auto"/>
              <w:rPr>
                <w:rFonts w:ascii="Arial"/>
                <w:sz w:val="21"/>
              </w:rPr>
            </w:pPr>
          </w:p>
          <w:p w14:paraId="56568C70">
            <w:pPr>
              <w:spacing w:before="58" w:line="241" w:lineRule="auto"/>
              <w:ind w:left="299"/>
              <w:rPr>
                <w:rFonts w:ascii="楷体" w:hAnsi="楷体" w:eastAsia="楷体" w:cs="楷体"/>
                <w:sz w:val="18"/>
                <w:szCs w:val="18"/>
              </w:rPr>
            </w:pPr>
            <w:r>
              <w:rPr>
                <w:rFonts w:ascii="楷体" w:hAnsi="楷体" w:eastAsia="楷体" w:cs="楷体"/>
                <w:spacing w:val="-6"/>
                <w:sz w:val="18"/>
                <w:szCs w:val="18"/>
              </w:rPr>
              <w:t>26</w:t>
            </w:r>
          </w:p>
        </w:tc>
        <w:tc>
          <w:tcPr>
            <w:tcW w:w="1089" w:type="dxa"/>
            <w:vAlign w:val="top"/>
          </w:tcPr>
          <w:p w14:paraId="63B2F8A2">
            <w:pPr>
              <w:rPr>
                <w:rFonts w:ascii="Arial"/>
                <w:sz w:val="21"/>
              </w:rPr>
            </w:pPr>
          </w:p>
        </w:tc>
        <w:tc>
          <w:tcPr>
            <w:tcW w:w="772" w:type="dxa"/>
            <w:vAlign w:val="top"/>
          </w:tcPr>
          <w:p w14:paraId="7EA8CAE2">
            <w:pPr>
              <w:rPr>
                <w:rFonts w:ascii="Arial"/>
                <w:sz w:val="21"/>
              </w:rPr>
            </w:pPr>
          </w:p>
        </w:tc>
        <w:tc>
          <w:tcPr>
            <w:tcW w:w="1146" w:type="dxa"/>
            <w:vAlign w:val="top"/>
          </w:tcPr>
          <w:p w14:paraId="0FA2D6F0">
            <w:pPr>
              <w:rPr>
                <w:rFonts w:ascii="Arial"/>
                <w:sz w:val="21"/>
              </w:rPr>
            </w:pPr>
          </w:p>
        </w:tc>
        <w:tc>
          <w:tcPr>
            <w:tcW w:w="681" w:type="dxa"/>
            <w:vAlign w:val="top"/>
          </w:tcPr>
          <w:p w14:paraId="60717146">
            <w:pPr>
              <w:spacing w:line="279" w:lineRule="auto"/>
              <w:rPr>
                <w:rFonts w:ascii="Arial"/>
                <w:sz w:val="21"/>
              </w:rPr>
            </w:pPr>
          </w:p>
          <w:p w14:paraId="10E2CD48">
            <w:pPr>
              <w:spacing w:line="279" w:lineRule="auto"/>
              <w:rPr>
                <w:rFonts w:ascii="Arial"/>
                <w:sz w:val="21"/>
              </w:rPr>
            </w:pPr>
          </w:p>
          <w:p w14:paraId="4929B551">
            <w:pPr>
              <w:spacing w:line="280" w:lineRule="auto"/>
              <w:rPr>
                <w:rFonts w:ascii="Arial"/>
                <w:sz w:val="21"/>
              </w:rPr>
            </w:pPr>
          </w:p>
          <w:p w14:paraId="45B1344B">
            <w:pPr>
              <w:spacing w:line="280" w:lineRule="auto"/>
              <w:rPr>
                <w:rFonts w:ascii="Arial"/>
                <w:sz w:val="21"/>
              </w:rPr>
            </w:pPr>
          </w:p>
          <w:p w14:paraId="79D3787A">
            <w:pPr>
              <w:spacing w:before="59" w:line="288" w:lineRule="auto"/>
              <w:ind w:left="170" w:right="147" w:firstLine="14"/>
              <w:jc w:val="both"/>
              <w:rPr>
                <w:rFonts w:ascii="楷体" w:hAnsi="楷体" w:eastAsia="楷体" w:cs="楷体"/>
                <w:sz w:val="18"/>
                <w:szCs w:val="18"/>
              </w:rPr>
            </w:pPr>
            <w:r>
              <w:rPr>
                <w:rFonts w:ascii="楷体" w:hAnsi="楷体" w:eastAsia="楷体" w:cs="楷体"/>
                <w:spacing w:val="-9"/>
                <w:sz w:val="18"/>
                <w:szCs w:val="18"/>
              </w:rPr>
              <w:t>落实</w:t>
            </w:r>
            <w:r>
              <w:rPr>
                <w:rFonts w:ascii="楷体" w:hAnsi="楷体" w:eastAsia="楷体" w:cs="楷体"/>
                <w:spacing w:val="-2"/>
                <w:sz w:val="18"/>
                <w:szCs w:val="18"/>
              </w:rPr>
              <w:t>省级规划</w:t>
            </w:r>
          </w:p>
        </w:tc>
      </w:tr>
      <w:tr w14:paraId="7BAD4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70" w:type="dxa"/>
            <w:vAlign w:val="top"/>
          </w:tcPr>
          <w:p w14:paraId="4011236C">
            <w:pPr>
              <w:rPr>
                <w:rFonts w:ascii="Arial"/>
                <w:sz w:val="21"/>
              </w:rPr>
            </w:pPr>
          </w:p>
        </w:tc>
        <w:tc>
          <w:tcPr>
            <w:tcW w:w="499" w:type="dxa"/>
            <w:vAlign w:val="top"/>
          </w:tcPr>
          <w:p w14:paraId="16528F83">
            <w:pPr>
              <w:rPr>
                <w:rFonts w:ascii="Arial"/>
                <w:sz w:val="21"/>
              </w:rPr>
            </w:pPr>
          </w:p>
        </w:tc>
        <w:tc>
          <w:tcPr>
            <w:tcW w:w="633" w:type="dxa"/>
            <w:vAlign w:val="top"/>
          </w:tcPr>
          <w:p w14:paraId="08A172C1">
            <w:pPr>
              <w:rPr>
                <w:rFonts w:ascii="Arial"/>
                <w:sz w:val="21"/>
              </w:rPr>
            </w:pPr>
          </w:p>
        </w:tc>
        <w:tc>
          <w:tcPr>
            <w:tcW w:w="1166" w:type="dxa"/>
            <w:vAlign w:val="top"/>
          </w:tcPr>
          <w:p w14:paraId="30669EBC">
            <w:pPr>
              <w:rPr>
                <w:rFonts w:ascii="Arial"/>
                <w:sz w:val="21"/>
              </w:rPr>
            </w:pPr>
          </w:p>
        </w:tc>
        <w:tc>
          <w:tcPr>
            <w:tcW w:w="926" w:type="dxa"/>
            <w:vAlign w:val="top"/>
          </w:tcPr>
          <w:p w14:paraId="4AA6F5D5">
            <w:pPr>
              <w:rPr>
                <w:rFonts w:ascii="Arial"/>
                <w:sz w:val="21"/>
              </w:rPr>
            </w:pPr>
          </w:p>
        </w:tc>
        <w:tc>
          <w:tcPr>
            <w:tcW w:w="2648" w:type="dxa"/>
            <w:vAlign w:val="top"/>
          </w:tcPr>
          <w:p w14:paraId="52466039">
            <w:pPr>
              <w:rPr>
                <w:rFonts w:ascii="Arial"/>
                <w:sz w:val="21"/>
              </w:rPr>
            </w:pPr>
          </w:p>
        </w:tc>
        <w:tc>
          <w:tcPr>
            <w:tcW w:w="720" w:type="dxa"/>
            <w:vAlign w:val="top"/>
          </w:tcPr>
          <w:p w14:paraId="59709172">
            <w:pPr>
              <w:rPr>
                <w:rFonts w:ascii="Arial"/>
                <w:sz w:val="21"/>
              </w:rPr>
            </w:pPr>
          </w:p>
        </w:tc>
        <w:tc>
          <w:tcPr>
            <w:tcW w:w="609" w:type="dxa"/>
            <w:vAlign w:val="top"/>
          </w:tcPr>
          <w:p w14:paraId="0A21887C">
            <w:pPr>
              <w:rPr>
                <w:rFonts w:ascii="Arial"/>
                <w:sz w:val="21"/>
              </w:rPr>
            </w:pPr>
          </w:p>
        </w:tc>
        <w:tc>
          <w:tcPr>
            <w:tcW w:w="547" w:type="dxa"/>
            <w:vAlign w:val="top"/>
          </w:tcPr>
          <w:p w14:paraId="6E60F295">
            <w:pPr>
              <w:rPr>
                <w:rFonts w:ascii="Arial"/>
                <w:sz w:val="21"/>
              </w:rPr>
            </w:pPr>
          </w:p>
        </w:tc>
        <w:tc>
          <w:tcPr>
            <w:tcW w:w="763" w:type="dxa"/>
            <w:vAlign w:val="top"/>
          </w:tcPr>
          <w:p w14:paraId="3642AC9C">
            <w:pPr>
              <w:rPr>
                <w:rFonts w:ascii="Arial"/>
                <w:sz w:val="21"/>
              </w:rPr>
            </w:pPr>
          </w:p>
        </w:tc>
        <w:tc>
          <w:tcPr>
            <w:tcW w:w="763" w:type="dxa"/>
            <w:vAlign w:val="top"/>
          </w:tcPr>
          <w:p w14:paraId="78CE208C">
            <w:pPr>
              <w:rPr>
                <w:rFonts w:ascii="Arial"/>
                <w:sz w:val="21"/>
              </w:rPr>
            </w:pPr>
          </w:p>
        </w:tc>
        <w:tc>
          <w:tcPr>
            <w:tcW w:w="743" w:type="dxa"/>
            <w:vAlign w:val="top"/>
          </w:tcPr>
          <w:p w14:paraId="50947426">
            <w:pPr>
              <w:rPr>
                <w:rFonts w:ascii="Arial"/>
                <w:sz w:val="21"/>
              </w:rPr>
            </w:pPr>
          </w:p>
        </w:tc>
        <w:tc>
          <w:tcPr>
            <w:tcW w:w="1089" w:type="dxa"/>
            <w:vAlign w:val="top"/>
          </w:tcPr>
          <w:p w14:paraId="3ADF5539">
            <w:pPr>
              <w:rPr>
                <w:rFonts w:ascii="Arial"/>
                <w:sz w:val="21"/>
              </w:rPr>
            </w:pPr>
          </w:p>
        </w:tc>
        <w:tc>
          <w:tcPr>
            <w:tcW w:w="772" w:type="dxa"/>
            <w:vAlign w:val="top"/>
          </w:tcPr>
          <w:p w14:paraId="75E76754">
            <w:pPr>
              <w:rPr>
                <w:rFonts w:ascii="Arial"/>
                <w:sz w:val="21"/>
              </w:rPr>
            </w:pPr>
          </w:p>
        </w:tc>
        <w:tc>
          <w:tcPr>
            <w:tcW w:w="1146" w:type="dxa"/>
            <w:vAlign w:val="top"/>
          </w:tcPr>
          <w:p w14:paraId="5A1E6AB8">
            <w:pPr>
              <w:rPr>
                <w:rFonts w:ascii="Arial"/>
                <w:sz w:val="21"/>
              </w:rPr>
            </w:pPr>
          </w:p>
        </w:tc>
        <w:tc>
          <w:tcPr>
            <w:tcW w:w="681" w:type="dxa"/>
            <w:vAlign w:val="top"/>
          </w:tcPr>
          <w:p w14:paraId="0A3CD9F8">
            <w:pPr>
              <w:rPr>
                <w:rFonts w:ascii="Arial"/>
                <w:sz w:val="21"/>
              </w:rPr>
            </w:pPr>
          </w:p>
        </w:tc>
      </w:tr>
    </w:tbl>
    <w:p w14:paraId="62868CA5">
      <w:pPr>
        <w:spacing w:before="126" w:line="217" w:lineRule="auto"/>
        <w:ind w:left="486"/>
        <w:rPr>
          <w:rFonts w:ascii="仿宋" w:hAnsi="仿宋" w:eastAsia="仿宋" w:cs="仿宋"/>
          <w:sz w:val="18"/>
          <w:szCs w:val="18"/>
        </w:rPr>
      </w:pPr>
      <w:r>
        <w:rPr>
          <w:rFonts w:ascii="仿宋" w:hAnsi="仿宋" w:eastAsia="仿宋" w:cs="仿宋"/>
          <w:sz w:val="18"/>
          <w:szCs w:val="18"/>
        </w:rPr>
        <w:t>注：拐点坐标只提取了能框出大致范围的坐标串，详细范围</w:t>
      </w:r>
      <w:r>
        <w:rPr>
          <w:rFonts w:ascii="仿宋" w:hAnsi="仿宋" w:eastAsia="仿宋" w:cs="仿宋"/>
          <w:spacing w:val="-1"/>
          <w:sz w:val="18"/>
          <w:szCs w:val="18"/>
        </w:rPr>
        <w:t>以数据库空间矢量图为准。</w:t>
      </w:r>
    </w:p>
    <w:p w14:paraId="5ED8547E">
      <w:pPr>
        <w:spacing w:line="217" w:lineRule="auto"/>
        <w:rPr>
          <w:rFonts w:ascii="仿宋" w:hAnsi="仿宋" w:eastAsia="仿宋" w:cs="仿宋"/>
          <w:sz w:val="18"/>
          <w:szCs w:val="18"/>
        </w:rPr>
        <w:sectPr>
          <w:footerReference r:id="rId52" w:type="default"/>
          <w:pgSz w:w="16835" w:h="11904"/>
          <w:pgMar w:top="1011" w:right="1329" w:bottom="1287" w:left="1324" w:header="0" w:footer="920" w:gutter="0"/>
          <w:cols w:space="720" w:num="1"/>
        </w:sectPr>
      </w:pPr>
    </w:p>
    <w:p w14:paraId="4B3BB10F">
      <w:pPr>
        <w:pStyle w:val="2"/>
        <w:spacing w:line="269" w:lineRule="auto"/>
      </w:pPr>
    </w:p>
    <w:p w14:paraId="0D1CC8F5">
      <w:pPr>
        <w:pStyle w:val="2"/>
        <w:spacing w:line="269" w:lineRule="auto"/>
      </w:pPr>
    </w:p>
    <w:p w14:paraId="1C7BC234">
      <w:pPr>
        <w:pStyle w:val="2"/>
        <w:spacing w:line="270" w:lineRule="auto"/>
      </w:pPr>
    </w:p>
    <w:p w14:paraId="04BA4C61">
      <w:pPr>
        <w:pStyle w:val="2"/>
        <w:spacing w:before="100" w:line="225" w:lineRule="auto"/>
        <w:ind w:left="730"/>
        <w:outlineLvl w:val="0"/>
        <w:rPr>
          <w:rFonts w:ascii="黑体" w:hAnsi="黑体" w:eastAsia="黑体" w:cs="黑体"/>
          <w:sz w:val="31"/>
          <w:szCs w:val="31"/>
        </w:rPr>
      </w:pPr>
      <w:r>
        <w:rPr>
          <w:rFonts w:ascii="黑体" w:hAnsi="黑体" w:eastAsia="黑体" w:cs="黑体"/>
          <w:spacing w:val="6"/>
          <w:sz w:val="31"/>
          <w:szCs w:val="31"/>
        </w:rPr>
        <w:t>附表</w:t>
      </w:r>
      <w:r>
        <w:rPr>
          <w:rFonts w:ascii="黑体" w:hAnsi="黑体" w:eastAsia="黑体" w:cs="黑体"/>
          <w:spacing w:val="-49"/>
          <w:sz w:val="31"/>
          <w:szCs w:val="31"/>
        </w:rPr>
        <w:t xml:space="preserve"> </w:t>
      </w:r>
      <w:r>
        <w:rPr>
          <w:spacing w:val="6"/>
          <w:sz w:val="31"/>
          <w:szCs w:val="31"/>
        </w:rPr>
        <w:t>3</w:t>
      </w:r>
      <w:r>
        <w:rPr>
          <w:spacing w:val="1"/>
          <w:sz w:val="31"/>
          <w:szCs w:val="31"/>
        </w:rPr>
        <w:t xml:space="preserve">    </w:t>
      </w:r>
      <w:r>
        <w:rPr>
          <w:rFonts w:ascii="黑体" w:hAnsi="黑体" w:eastAsia="黑体" w:cs="黑体"/>
          <w:spacing w:val="6"/>
          <w:sz w:val="31"/>
          <w:szCs w:val="31"/>
        </w:rPr>
        <w:t>阿坝州战略性矿产资源保护区表</w:t>
      </w:r>
    </w:p>
    <w:p w14:paraId="0E93FF6C">
      <w:pPr>
        <w:spacing w:line="120" w:lineRule="exact"/>
      </w:pPr>
    </w:p>
    <w:tbl>
      <w:tblPr>
        <w:tblStyle w:val="5"/>
        <w:tblW w:w="143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171"/>
        <w:gridCol w:w="2336"/>
        <w:gridCol w:w="1664"/>
        <w:gridCol w:w="1386"/>
        <w:gridCol w:w="2212"/>
        <w:gridCol w:w="1209"/>
        <w:gridCol w:w="1074"/>
        <w:gridCol w:w="1055"/>
        <w:gridCol w:w="1401"/>
      </w:tblGrid>
      <w:tr w14:paraId="167CF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96" w:type="dxa"/>
            <w:vAlign w:val="top"/>
          </w:tcPr>
          <w:p w14:paraId="307079FF">
            <w:pPr>
              <w:spacing w:line="254" w:lineRule="auto"/>
              <w:rPr>
                <w:rFonts w:ascii="Arial"/>
                <w:sz w:val="21"/>
              </w:rPr>
            </w:pPr>
          </w:p>
          <w:p w14:paraId="32432B38">
            <w:pPr>
              <w:spacing w:before="75" w:line="231" w:lineRule="auto"/>
              <w:ind w:left="172"/>
              <w:rPr>
                <w:rFonts w:ascii="黑体" w:hAnsi="黑体" w:eastAsia="黑体" w:cs="黑体"/>
                <w:sz w:val="23"/>
                <w:szCs w:val="23"/>
              </w:rPr>
            </w:pPr>
            <w:r>
              <w:rPr>
                <w:rFonts w:ascii="黑体" w:hAnsi="黑体" w:eastAsia="黑体" w:cs="黑体"/>
                <w:spacing w:val="5"/>
                <w:sz w:val="23"/>
                <w:szCs w:val="23"/>
              </w:rPr>
              <w:t>序号</w:t>
            </w:r>
          </w:p>
        </w:tc>
        <w:tc>
          <w:tcPr>
            <w:tcW w:w="1171" w:type="dxa"/>
            <w:vAlign w:val="top"/>
          </w:tcPr>
          <w:p w14:paraId="4FD31CBF">
            <w:pPr>
              <w:spacing w:line="254" w:lineRule="auto"/>
              <w:rPr>
                <w:rFonts w:ascii="Arial"/>
                <w:sz w:val="21"/>
              </w:rPr>
            </w:pPr>
          </w:p>
          <w:p w14:paraId="053824B4">
            <w:pPr>
              <w:spacing w:before="75" w:line="229" w:lineRule="auto"/>
              <w:ind w:left="358"/>
              <w:rPr>
                <w:rFonts w:ascii="黑体" w:hAnsi="黑体" w:eastAsia="黑体" w:cs="黑体"/>
                <w:sz w:val="23"/>
                <w:szCs w:val="23"/>
              </w:rPr>
            </w:pPr>
            <w:r>
              <w:rPr>
                <w:rFonts w:ascii="黑体" w:hAnsi="黑体" w:eastAsia="黑体" w:cs="黑体"/>
                <w:spacing w:val="6"/>
                <w:sz w:val="23"/>
                <w:szCs w:val="23"/>
              </w:rPr>
              <w:t>编号</w:t>
            </w:r>
          </w:p>
        </w:tc>
        <w:tc>
          <w:tcPr>
            <w:tcW w:w="2336" w:type="dxa"/>
            <w:vAlign w:val="top"/>
          </w:tcPr>
          <w:p w14:paraId="610DE072">
            <w:pPr>
              <w:spacing w:line="253" w:lineRule="auto"/>
              <w:rPr>
                <w:rFonts w:ascii="Arial"/>
                <w:sz w:val="21"/>
              </w:rPr>
            </w:pPr>
          </w:p>
          <w:p w14:paraId="75B08188">
            <w:pPr>
              <w:spacing w:before="75" w:line="230" w:lineRule="auto"/>
              <w:ind w:left="942"/>
              <w:rPr>
                <w:rFonts w:ascii="黑体" w:hAnsi="黑体" w:eastAsia="黑体" w:cs="黑体"/>
                <w:sz w:val="23"/>
                <w:szCs w:val="23"/>
              </w:rPr>
            </w:pPr>
            <w:r>
              <w:rPr>
                <w:rFonts w:ascii="黑体" w:hAnsi="黑体" w:eastAsia="黑体" w:cs="黑体"/>
                <w:spacing w:val="4"/>
                <w:sz w:val="23"/>
                <w:szCs w:val="23"/>
              </w:rPr>
              <w:t>名称</w:t>
            </w:r>
          </w:p>
        </w:tc>
        <w:tc>
          <w:tcPr>
            <w:tcW w:w="1664" w:type="dxa"/>
            <w:vAlign w:val="top"/>
          </w:tcPr>
          <w:p w14:paraId="4EE9B797">
            <w:pPr>
              <w:spacing w:line="253" w:lineRule="auto"/>
              <w:rPr>
                <w:rFonts w:ascii="Arial"/>
                <w:sz w:val="21"/>
              </w:rPr>
            </w:pPr>
          </w:p>
          <w:p w14:paraId="7ACA5E13">
            <w:pPr>
              <w:spacing w:before="75" w:line="230" w:lineRule="auto"/>
              <w:ind w:left="248"/>
              <w:rPr>
                <w:rFonts w:ascii="黑体" w:hAnsi="黑体" w:eastAsia="黑体" w:cs="黑体"/>
                <w:sz w:val="23"/>
                <w:szCs w:val="23"/>
              </w:rPr>
            </w:pPr>
            <w:r>
              <w:rPr>
                <w:rFonts w:ascii="黑体" w:hAnsi="黑体" w:eastAsia="黑体" w:cs="黑体"/>
                <w:spacing w:val="7"/>
                <w:sz w:val="23"/>
                <w:szCs w:val="23"/>
              </w:rPr>
              <w:t>所在行政区</w:t>
            </w:r>
          </w:p>
        </w:tc>
        <w:tc>
          <w:tcPr>
            <w:tcW w:w="1386" w:type="dxa"/>
            <w:vAlign w:val="top"/>
          </w:tcPr>
          <w:p w14:paraId="1C1441A5">
            <w:pPr>
              <w:spacing w:line="253" w:lineRule="auto"/>
              <w:rPr>
                <w:rFonts w:ascii="Arial"/>
                <w:sz w:val="21"/>
              </w:rPr>
            </w:pPr>
          </w:p>
          <w:p w14:paraId="69708E44">
            <w:pPr>
              <w:spacing w:before="75" w:line="222" w:lineRule="auto"/>
              <w:ind w:left="205"/>
              <w:rPr>
                <w:rFonts w:ascii="黑体" w:hAnsi="黑体" w:eastAsia="黑体" w:cs="黑体"/>
                <w:sz w:val="23"/>
                <w:szCs w:val="23"/>
              </w:rPr>
            </w:pPr>
            <w:r>
              <w:rPr>
                <w:rFonts w:ascii="黑体" w:hAnsi="黑体" w:eastAsia="黑体" w:cs="黑体"/>
                <w:spacing w:val="-4"/>
                <w:sz w:val="23"/>
                <w:szCs w:val="23"/>
              </w:rPr>
              <w:t>面积</w:t>
            </w:r>
            <w:r>
              <w:rPr>
                <w:rFonts w:ascii="黑体" w:hAnsi="黑体" w:eastAsia="黑体" w:cs="黑体"/>
                <w:spacing w:val="-57"/>
                <w:sz w:val="23"/>
                <w:szCs w:val="23"/>
              </w:rPr>
              <w:t xml:space="preserve"> </w:t>
            </w:r>
            <w:r>
              <w:rPr>
                <w:rFonts w:ascii="黑体" w:hAnsi="黑体" w:eastAsia="黑体" w:cs="黑体"/>
                <w:spacing w:val="-4"/>
                <w:sz w:val="23"/>
                <w:szCs w:val="23"/>
              </w:rPr>
              <w:t>(Km</w:t>
            </w:r>
            <w:r>
              <w:rPr>
                <w:rFonts w:ascii="黑体" w:hAnsi="黑体" w:eastAsia="黑体" w:cs="黑体"/>
                <w:spacing w:val="-4"/>
                <w:position w:val="1"/>
                <w:sz w:val="11"/>
                <w:szCs w:val="11"/>
              </w:rPr>
              <w:t>2</w:t>
            </w:r>
            <w:r>
              <w:rPr>
                <w:rFonts w:ascii="黑体" w:hAnsi="黑体" w:eastAsia="黑体" w:cs="黑体"/>
                <w:spacing w:val="-4"/>
                <w:position w:val="1"/>
                <w:sz w:val="23"/>
                <w:szCs w:val="23"/>
              </w:rPr>
              <w:t>)</w:t>
            </w:r>
          </w:p>
        </w:tc>
        <w:tc>
          <w:tcPr>
            <w:tcW w:w="2212" w:type="dxa"/>
            <w:vAlign w:val="top"/>
          </w:tcPr>
          <w:p w14:paraId="458ED787">
            <w:pPr>
              <w:spacing w:line="254" w:lineRule="auto"/>
              <w:rPr>
                <w:rFonts w:ascii="Arial"/>
                <w:sz w:val="21"/>
              </w:rPr>
            </w:pPr>
          </w:p>
          <w:p w14:paraId="37E9B88B">
            <w:pPr>
              <w:spacing w:before="75" w:line="231" w:lineRule="auto"/>
              <w:ind w:left="643"/>
              <w:rPr>
                <w:rFonts w:ascii="黑体" w:hAnsi="黑体" w:eastAsia="黑体" w:cs="黑体"/>
                <w:sz w:val="23"/>
                <w:szCs w:val="23"/>
              </w:rPr>
            </w:pPr>
            <w:r>
              <w:rPr>
                <w:rFonts w:ascii="黑体" w:hAnsi="黑体" w:eastAsia="黑体" w:cs="黑体"/>
                <w:spacing w:val="7"/>
                <w:sz w:val="23"/>
                <w:szCs w:val="23"/>
              </w:rPr>
              <w:t>拐点坐标</w:t>
            </w:r>
          </w:p>
        </w:tc>
        <w:tc>
          <w:tcPr>
            <w:tcW w:w="1209" w:type="dxa"/>
            <w:vAlign w:val="top"/>
          </w:tcPr>
          <w:p w14:paraId="17E19A5A">
            <w:pPr>
              <w:spacing w:line="254" w:lineRule="auto"/>
              <w:rPr>
                <w:rFonts w:ascii="Arial"/>
                <w:sz w:val="21"/>
              </w:rPr>
            </w:pPr>
          </w:p>
          <w:p w14:paraId="3A5E4D32">
            <w:pPr>
              <w:spacing w:before="75" w:line="229" w:lineRule="auto"/>
              <w:ind w:left="146"/>
              <w:rPr>
                <w:rFonts w:ascii="黑体" w:hAnsi="黑体" w:eastAsia="黑体" w:cs="黑体"/>
                <w:sz w:val="23"/>
                <w:szCs w:val="23"/>
              </w:rPr>
            </w:pPr>
            <w:r>
              <w:rPr>
                <w:rFonts w:ascii="黑体" w:hAnsi="黑体" w:eastAsia="黑体" w:cs="黑体"/>
                <w:spacing w:val="6"/>
                <w:sz w:val="23"/>
                <w:szCs w:val="23"/>
              </w:rPr>
              <w:t>主要矿种</w:t>
            </w:r>
          </w:p>
        </w:tc>
        <w:tc>
          <w:tcPr>
            <w:tcW w:w="1074" w:type="dxa"/>
            <w:vAlign w:val="top"/>
          </w:tcPr>
          <w:p w14:paraId="1DE29F89">
            <w:pPr>
              <w:spacing w:before="100" w:line="334" w:lineRule="auto"/>
              <w:ind w:left="322" w:right="162" w:hanging="118"/>
              <w:rPr>
                <w:rFonts w:ascii="黑体" w:hAnsi="黑体" w:eastAsia="黑体" w:cs="黑体"/>
                <w:sz w:val="23"/>
                <w:szCs w:val="23"/>
              </w:rPr>
            </w:pPr>
            <w:r>
              <w:rPr>
                <w:rFonts w:ascii="黑体" w:hAnsi="黑体" w:eastAsia="黑体" w:cs="黑体"/>
                <w:spacing w:val="4"/>
                <w:sz w:val="23"/>
                <w:szCs w:val="23"/>
              </w:rPr>
              <w:t>资源量</w:t>
            </w:r>
            <w:r>
              <w:rPr>
                <w:rFonts w:ascii="黑体" w:hAnsi="黑体" w:eastAsia="黑体" w:cs="黑体"/>
                <w:spacing w:val="2"/>
                <w:sz w:val="23"/>
                <w:szCs w:val="23"/>
              </w:rPr>
              <w:t>单位</w:t>
            </w:r>
          </w:p>
        </w:tc>
        <w:tc>
          <w:tcPr>
            <w:tcW w:w="1055" w:type="dxa"/>
            <w:vAlign w:val="top"/>
          </w:tcPr>
          <w:p w14:paraId="0CEC5772">
            <w:pPr>
              <w:spacing w:line="254" w:lineRule="auto"/>
              <w:rPr>
                <w:rFonts w:ascii="Arial"/>
                <w:sz w:val="21"/>
              </w:rPr>
            </w:pPr>
          </w:p>
          <w:p w14:paraId="551EFDD2">
            <w:pPr>
              <w:spacing w:before="75" w:line="229" w:lineRule="auto"/>
              <w:ind w:left="195"/>
              <w:rPr>
                <w:rFonts w:ascii="黑体" w:hAnsi="黑体" w:eastAsia="黑体" w:cs="黑体"/>
                <w:sz w:val="23"/>
                <w:szCs w:val="23"/>
              </w:rPr>
            </w:pPr>
            <w:r>
              <w:rPr>
                <w:rFonts w:ascii="黑体" w:hAnsi="黑体" w:eastAsia="黑体" w:cs="黑体"/>
                <w:spacing w:val="4"/>
                <w:sz w:val="23"/>
                <w:szCs w:val="23"/>
              </w:rPr>
              <w:t>资源量</w:t>
            </w:r>
          </w:p>
        </w:tc>
        <w:tc>
          <w:tcPr>
            <w:tcW w:w="1401" w:type="dxa"/>
            <w:vAlign w:val="top"/>
          </w:tcPr>
          <w:p w14:paraId="76D4A7B0">
            <w:pPr>
              <w:spacing w:line="253" w:lineRule="auto"/>
              <w:rPr>
                <w:rFonts w:ascii="Arial"/>
                <w:sz w:val="21"/>
              </w:rPr>
            </w:pPr>
          </w:p>
          <w:p w14:paraId="3FA6010A">
            <w:pPr>
              <w:spacing w:before="75" w:line="230" w:lineRule="auto"/>
              <w:ind w:left="475"/>
              <w:rPr>
                <w:rFonts w:ascii="黑体" w:hAnsi="黑体" w:eastAsia="黑体" w:cs="黑体"/>
                <w:sz w:val="23"/>
                <w:szCs w:val="23"/>
              </w:rPr>
            </w:pPr>
            <w:r>
              <w:rPr>
                <w:rFonts w:ascii="黑体" w:hAnsi="黑体" w:eastAsia="黑体" w:cs="黑体"/>
                <w:spacing w:val="5"/>
                <w:sz w:val="23"/>
                <w:szCs w:val="23"/>
              </w:rPr>
              <w:t>备注</w:t>
            </w:r>
          </w:p>
        </w:tc>
      </w:tr>
      <w:tr w14:paraId="4ED07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6" w:type="dxa"/>
            <w:vAlign w:val="top"/>
          </w:tcPr>
          <w:p w14:paraId="4CCDE4CA">
            <w:pPr>
              <w:spacing w:before="205" w:line="238" w:lineRule="exact"/>
              <w:ind w:left="378"/>
              <w:rPr>
                <w:rFonts w:ascii="楷体" w:hAnsi="楷体" w:eastAsia="楷体" w:cs="楷体"/>
                <w:sz w:val="18"/>
                <w:szCs w:val="18"/>
              </w:rPr>
            </w:pPr>
            <w:r>
              <w:rPr>
                <w:rFonts w:ascii="楷体" w:hAnsi="楷体" w:eastAsia="楷体" w:cs="楷体"/>
                <w:position w:val="1"/>
                <w:sz w:val="18"/>
                <w:szCs w:val="18"/>
              </w:rPr>
              <w:t>1</w:t>
            </w:r>
          </w:p>
        </w:tc>
        <w:tc>
          <w:tcPr>
            <w:tcW w:w="1171" w:type="dxa"/>
            <w:vAlign w:val="top"/>
          </w:tcPr>
          <w:p w14:paraId="62629AF4">
            <w:pPr>
              <w:spacing w:before="205" w:line="239" w:lineRule="auto"/>
              <w:ind w:left="372"/>
              <w:rPr>
                <w:rFonts w:ascii="楷体" w:hAnsi="楷体" w:eastAsia="楷体" w:cs="楷体"/>
                <w:sz w:val="18"/>
                <w:szCs w:val="18"/>
              </w:rPr>
            </w:pPr>
            <w:r>
              <w:rPr>
                <w:rFonts w:ascii="楷体" w:hAnsi="楷体" w:eastAsia="楷体" w:cs="楷体"/>
                <w:spacing w:val="-2"/>
                <w:sz w:val="18"/>
                <w:szCs w:val="18"/>
              </w:rPr>
              <w:t>CB001</w:t>
            </w:r>
          </w:p>
        </w:tc>
        <w:tc>
          <w:tcPr>
            <w:tcW w:w="2336" w:type="dxa"/>
            <w:vAlign w:val="top"/>
          </w:tcPr>
          <w:p w14:paraId="70755549">
            <w:pPr>
              <w:spacing w:before="64" w:line="219" w:lineRule="auto"/>
              <w:ind w:left="197"/>
              <w:rPr>
                <w:rFonts w:ascii="楷体" w:hAnsi="楷体" w:eastAsia="楷体" w:cs="楷体"/>
                <w:sz w:val="18"/>
                <w:szCs w:val="18"/>
              </w:rPr>
            </w:pPr>
            <w:r>
              <w:rPr>
                <w:rFonts w:ascii="楷体" w:hAnsi="楷体" w:eastAsia="楷体" w:cs="楷体"/>
                <w:spacing w:val="-2"/>
                <w:sz w:val="18"/>
                <w:szCs w:val="18"/>
              </w:rPr>
              <w:t>四川什邡-绵竹-茂县板棚</w:t>
            </w:r>
          </w:p>
          <w:p w14:paraId="1DC6DC2C">
            <w:pPr>
              <w:spacing w:before="66" w:line="218" w:lineRule="auto"/>
              <w:ind w:left="911"/>
              <w:rPr>
                <w:rFonts w:ascii="楷体" w:hAnsi="楷体" w:eastAsia="楷体" w:cs="楷体"/>
                <w:sz w:val="18"/>
                <w:szCs w:val="18"/>
              </w:rPr>
            </w:pPr>
            <w:r>
              <w:rPr>
                <w:rFonts w:ascii="楷体" w:hAnsi="楷体" w:eastAsia="楷体" w:cs="楷体"/>
                <w:spacing w:val="-3"/>
                <w:sz w:val="18"/>
                <w:szCs w:val="18"/>
              </w:rPr>
              <w:t>子磷矿</w:t>
            </w:r>
          </w:p>
        </w:tc>
        <w:tc>
          <w:tcPr>
            <w:tcW w:w="1664" w:type="dxa"/>
            <w:vAlign w:val="top"/>
          </w:tcPr>
          <w:p w14:paraId="34074089">
            <w:pPr>
              <w:spacing w:before="205" w:line="220" w:lineRule="auto"/>
              <w:ind w:left="209"/>
              <w:rPr>
                <w:rFonts w:ascii="楷体" w:hAnsi="楷体" w:eastAsia="楷体" w:cs="楷体"/>
                <w:sz w:val="18"/>
                <w:szCs w:val="18"/>
              </w:rPr>
            </w:pPr>
            <w:r>
              <w:rPr>
                <w:rFonts w:ascii="楷体" w:hAnsi="楷体" w:eastAsia="楷体" w:cs="楷体"/>
                <w:spacing w:val="-1"/>
                <w:sz w:val="18"/>
                <w:szCs w:val="18"/>
              </w:rPr>
              <w:t>德阳市、阿坝州</w:t>
            </w:r>
          </w:p>
        </w:tc>
        <w:tc>
          <w:tcPr>
            <w:tcW w:w="1386" w:type="dxa"/>
            <w:vAlign w:val="top"/>
          </w:tcPr>
          <w:p w14:paraId="1696F80C">
            <w:pPr>
              <w:spacing w:before="205" w:line="241" w:lineRule="auto"/>
              <w:ind w:left="487"/>
              <w:rPr>
                <w:rFonts w:ascii="楷体" w:hAnsi="楷体" w:eastAsia="楷体" w:cs="楷体"/>
                <w:sz w:val="18"/>
                <w:szCs w:val="18"/>
              </w:rPr>
            </w:pPr>
            <w:r>
              <w:rPr>
                <w:rFonts w:ascii="楷体" w:hAnsi="楷体" w:eastAsia="楷体" w:cs="楷体"/>
                <w:spacing w:val="-2"/>
                <w:sz w:val="18"/>
                <w:szCs w:val="18"/>
              </w:rPr>
              <w:t>23.53</w:t>
            </w:r>
          </w:p>
        </w:tc>
        <w:tc>
          <w:tcPr>
            <w:tcW w:w="2212" w:type="dxa"/>
            <w:vAlign w:val="top"/>
          </w:tcPr>
          <w:p w14:paraId="545F3761">
            <w:pPr>
              <w:rPr>
                <w:rFonts w:ascii="Arial"/>
                <w:sz w:val="21"/>
              </w:rPr>
            </w:pPr>
          </w:p>
        </w:tc>
        <w:tc>
          <w:tcPr>
            <w:tcW w:w="1209" w:type="dxa"/>
            <w:vAlign w:val="top"/>
          </w:tcPr>
          <w:p w14:paraId="3DF833B2">
            <w:pPr>
              <w:spacing w:before="205" w:line="218" w:lineRule="auto"/>
              <w:ind w:left="522"/>
              <w:rPr>
                <w:rFonts w:ascii="楷体" w:hAnsi="楷体" w:eastAsia="楷体" w:cs="楷体"/>
                <w:sz w:val="18"/>
                <w:szCs w:val="18"/>
              </w:rPr>
            </w:pPr>
            <w:r>
              <w:rPr>
                <w:rFonts w:ascii="楷体" w:hAnsi="楷体" w:eastAsia="楷体" w:cs="楷体"/>
                <w:spacing w:val="2"/>
                <w:sz w:val="18"/>
                <w:szCs w:val="18"/>
              </w:rPr>
              <w:t>磷</w:t>
            </w:r>
          </w:p>
        </w:tc>
        <w:tc>
          <w:tcPr>
            <w:tcW w:w="1074" w:type="dxa"/>
            <w:vAlign w:val="top"/>
          </w:tcPr>
          <w:p w14:paraId="48F893BB">
            <w:pPr>
              <w:spacing w:before="205" w:line="230" w:lineRule="auto"/>
              <w:ind w:left="151"/>
              <w:rPr>
                <w:rFonts w:ascii="楷体" w:hAnsi="楷体" w:eastAsia="楷体" w:cs="楷体"/>
                <w:sz w:val="18"/>
                <w:szCs w:val="18"/>
              </w:rPr>
            </w:pPr>
            <w:r>
              <w:rPr>
                <w:rFonts w:ascii="楷体" w:hAnsi="楷体" w:eastAsia="楷体" w:cs="楷体"/>
                <w:spacing w:val="-3"/>
                <w:sz w:val="18"/>
                <w:szCs w:val="18"/>
              </w:rPr>
              <w:t>万吨 矿石</w:t>
            </w:r>
          </w:p>
        </w:tc>
        <w:tc>
          <w:tcPr>
            <w:tcW w:w="1055" w:type="dxa"/>
            <w:vAlign w:val="top"/>
          </w:tcPr>
          <w:p w14:paraId="789E905C">
            <w:pPr>
              <w:spacing w:before="205" w:line="239" w:lineRule="auto"/>
              <w:ind w:left="279"/>
              <w:rPr>
                <w:rFonts w:ascii="楷体" w:hAnsi="楷体" w:eastAsia="楷体" w:cs="楷体"/>
                <w:sz w:val="18"/>
                <w:szCs w:val="18"/>
              </w:rPr>
            </w:pPr>
            <w:r>
              <w:rPr>
                <w:rFonts w:ascii="楷体" w:hAnsi="楷体" w:eastAsia="楷体" w:cs="楷体"/>
                <w:spacing w:val="-3"/>
                <w:sz w:val="18"/>
                <w:szCs w:val="18"/>
              </w:rPr>
              <w:t>8403.6</w:t>
            </w:r>
          </w:p>
        </w:tc>
        <w:tc>
          <w:tcPr>
            <w:tcW w:w="1401" w:type="dxa"/>
            <w:vAlign w:val="top"/>
          </w:tcPr>
          <w:p w14:paraId="58A974E4">
            <w:pPr>
              <w:spacing w:before="205" w:line="223" w:lineRule="auto"/>
              <w:ind w:left="181"/>
              <w:rPr>
                <w:rFonts w:ascii="楷体" w:hAnsi="楷体" w:eastAsia="楷体" w:cs="楷体"/>
                <w:sz w:val="18"/>
                <w:szCs w:val="18"/>
              </w:rPr>
            </w:pPr>
            <w:r>
              <w:rPr>
                <w:rFonts w:ascii="楷体" w:hAnsi="楷体" w:eastAsia="楷体" w:cs="楷体"/>
                <w:spacing w:val="-2"/>
                <w:sz w:val="18"/>
                <w:szCs w:val="18"/>
              </w:rPr>
              <w:t>落实省级规划</w:t>
            </w:r>
          </w:p>
        </w:tc>
      </w:tr>
      <w:tr w14:paraId="4A9A8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6" w:type="dxa"/>
            <w:vAlign w:val="top"/>
          </w:tcPr>
          <w:p w14:paraId="2EB108FF">
            <w:pPr>
              <w:rPr>
                <w:rFonts w:ascii="Arial"/>
                <w:sz w:val="21"/>
              </w:rPr>
            </w:pPr>
          </w:p>
        </w:tc>
        <w:tc>
          <w:tcPr>
            <w:tcW w:w="1171" w:type="dxa"/>
            <w:vAlign w:val="top"/>
          </w:tcPr>
          <w:p w14:paraId="0C9F992A">
            <w:pPr>
              <w:rPr>
                <w:rFonts w:ascii="Arial"/>
                <w:sz w:val="21"/>
              </w:rPr>
            </w:pPr>
          </w:p>
        </w:tc>
        <w:tc>
          <w:tcPr>
            <w:tcW w:w="2336" w:type="dxa"/>
            <w:vAlign w:val="top"/>
          </w:tcPr>
          <w:p w14:paraId="24AC2C35">
            <w:pPr>
              <w:rPr>
                <w:rFonts w:ascii="Arial"/>
                <w:sz w:val="21"/>
              </w:rPr>
            </w:pPr>
          </w:p>
        </w:tc>
        <w:tc>
          <w:tcPr>
            <w:tcW w:w="1664" w:type="dxa"/>
            <w:vAlign w:val="top"/>
          </w:tcPr>
          <w:p w14:paraId="22ED2D5B">
            <w:pPr>
              <w:rPr>
                <w:rFonts w:ascii="Arial"/>
                <w:sz w:val="21"/>
              </w:rPr>
            </w:pPr>
          </w:p>
        </w:tc>
        <w:tc>
          <w:tcPr>
            <w:tcW w:w="1386" w:type="dxa"/>
            <w:vAlign w:val="top"/>
          </w:tcPr>
          <w:p w14:paraId="56878B90">
            <w:pPr>
              <w:rPr>
                <w:rFonts w:ascii="Arial"/>
                <w:sz w:val="21"/>
              </w:rPr>
            </w:pPr>
          </w:p>
        </w:tc>
        <w:tc>
          <w:tcPr>
            <w:tcW w:w="2212" w:type="dxa"/>
            <w:vAlign w:val="top"/>
          </w:tcPr>
          <w:p w14:paraId="079933B5">
            <w:pPr>
              <w:rPr>
                <w:rFonts w:ascii="Arial"/>
                <w:sz w:val="21"/>
              </w:rPr>
            </w:pPr>
          </w:p>
        </w:tc>
        <w:tc>
          <w:tcPr>
            <w:tcW w:w="1209" w:type="dxa"/>
            <w:vAlign w:val="top"/>
          </w:tcPr>
          <w:p w14:paraId="302565DD">
            <w:pPr>
              <w:rPr>
                <w:rFonts w:ascii="Arial"/>
                <w:sz w:val="21"/>
              </w:rPr>
            </w:pPr>
          </w:p>
        </w:tc>
        <w:tc>
          <w:tcPr>
            <w:tcW w:w="1074" w:type="dxa"/>
            <w:vAlign w:val="top"/>
          </w:tcPr>
          <w:p w14:paraId="67C34BA7">
            <w:pPr>
              <w:rPr>
                <w:rFonts w:ascii="Arial"/>
                <w:sz w:val="21"/>
              </w:rPr>
            </w:pPr>
          </w:p>
        </w:tc>
        <w:tc>
          <w:tcPr>
            <w:tcW w:w="1055" w:type="dxa"/>
            <w:vAlign w:val="top"/>
          </w:tcPr>
          <w:p w14:paraId="5BE25D2A">
            <w:pPr>
              <w:rPr>
                <w:rFonts w:ascii="Arial"/>
                <w:sz w:val="21"/>
              </w:rPr>
            </w:pPr>
          </w:p>
        </w:tc>
        <w:tc>
          <w:tcPr>
            <w:tcW w:w="1401" w:type="dxa"/>
            <w:vAlign w:val="top"/>
          </w:tcPr>
          <w:p w14:paraId="29BAF434">
            <w:pPr>
              <w:rPr>
                <w:rFonts w:ascii="Arial"/>
                <w:sz w:val="21"/>
              </w:rPr>
            </w:pPr>
          </w:p>
        </w:tc>
      </w:tr>
      <w:tr w14:paraId="2FB29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6" w:type="dxa"/>
            <w:vAlign w:val="top"/>
          </w:tcPr>
          <w:p w14:paraId="162A7B67">
            <w:pPr>
              <w:rPr>
                <w:rFonts w:ascii="Arial"/>
                <w:sz w:val="21"/>
              </w:rPr>
            </w:pPr>
          </w:p>
        </w:tc>
        <w:tc>
          <w:tcPr>
            <w:tcW w:w="1171" w:type="dxa"/>
            <w:vAlign w:val="top"/>
          </w:tcPr>
          <w:p w14:paraId="59F3EA67">
            <w:pPr>
              <w:rPr>
                <w:rFonts w:ascii="Arial"/>
                <w:sz w:val="21"/>
              </w:rPr>
            </w:pPr>
          </w:p>
        </w:tc>
        <w:tc>
          <w:tcPr>
            <w:tcW w:w="2336" w:type="dxa"/>
            <w:vAlign w:val="top"/>
          </w:tcPr>
          <w:p w14:paraId="020F7E1F">
            <w:pPr>
              <w:rPr>
                <w:rFonts w:ascii="Arial"/>
                <w:sz w:val="21"/>
              </w:rPr>
            </w:pPr>
          </w:p>
        </w:tc>
        <w:tc>
          <w:tcPr>
            <w:tcW w:w="1664" w:type="dxa"/>
            <w:vAlign w:val="top"/>
          </w:tcPr>
          <w:p w14:paraId="50EF132D">
            <w:pPr>
              <w:rPr>
                <w:rFonts w:ascii="Arial"/>
                <w:sz w:val="21"/>
              </w:rPr>
            </w:pPr>
          </w:p>
        </w:tc>
        <w:tc>
          <w:tcPr>
            <w:tcW w:w="1386" w:type="dxa"/>
            <w:vAlign w:val="top"/>
          </w:tcPr>
          <w:p w14:paraId="0C6E38AF">
            <w:pPr>
              <w:rPr>
                <w:rFonts w:ascii="Arial"/>
                <w:sz w:val="21"/>
              </w:rPr>
            </w:pPr>
          </w:p>
        </w:tc>
        <w:tc>
          <w:tcPr>
            <w:tcW w:w="2212" w:type="dxa"/>
            <w:vAlign w:val="top"/>
          </w:tcPr>
          <w:p w14:paraId="40E558E6">
            <w:pPr>
              <w:rPr>
                <w:rFonts w:ascii="Arial"/>
                <w:sz w:val="21"/>
              </w:rPr>
            </w:pPr>
          </w:p>
        </w:tc>
        <w:tc>
          <w:tcPr>
            <w:tcW w:w="1209" w:type="dxa"/>
            <w:vAlign w:val="top"/>
          </w:tcPr>
          <w:p w14:paraId="7F560EAE">
            <w:pPr>
              <w:rPr>
                <w:rFonts w:ascii="Arial"/>
                <w:sz w:val="21"/>
              </w:rPr>
            </w:pPr>
          </w:p>
        </w:tc>
        <w:tc>
          <w:tcPr>
            <w:tcW w:w="1074" w:type="dxa"/>
            <w:vAlign w:val="top"/>
          </w:tcPr>
          <w:p w14:paraId="3F55A51B">
            <w:pPr>
              <w:rPr>
                <w:rFonts w:ascii="Arial"/>
                <w:sz w:val="21"/>
              </w:rPr>
            </w:pPr>
          </w:p>
        </w:tc>
        <w:tc>
          <w:tcPr>
            <w:tcW w:w="1055" w:type="dxa"/>
            <w:vAlign w:val="top"/>
          </w:tcPr>
          <w:p w14:paraId="290649DD">
            <w:pPr>
              <w:rPr>
                <w:rFonts w:ascii="Arial"/>
                <w:sz w:val="21"/>
              </w:rPr>
            </w:pPr>
          </w:p>
        </w:tc>
        <w:tc>
          <w:tcPr>
            <w:tcW w:w="1401" w:type="dxa"/>
            <w:vAlign w:val="top"/>
          </w:tcPr>
          <w:p w14:paraId="1FE06112">
            <w:pPr>
              <w:rPr>
                <w:rFonts w:ascii="Arial"/>
                <w:sz w:val="21"/>
              </w:rPr>
            </w:pPr>
          </w:p>
        </w:tc>
      </w:tr>
      <w:tr w14:paraId="179A7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96" w:type="dxa"/>
            <w:vAlign w:val="top"/>
          </w:tcPr>
          <w:p w14:paraId="75B973ED">
            <w:pPr>
              <w:rPr>
                <w:rFonts w:ascii="Arial"/>
                <w:sz w:val="21"/>
              </w:rPr>
            </w:pPr>
          </w:p>
        </w:tc>
        <w:tc>
          <w:tcPr>
            <w:tcW w:w="1171" w:type="dxa"/>
            <w:vAlign w:val="top"/>
          </w:tcPr>
          <w:p w14:paraId="6EA2020C">
            <w:pPr>
              <w:rPr>
                <w:rFonts w:ascii="Arial"/>
                <w:sz w:val="21"/>
              </w:rPr>
            </w:pPr>
          </w:p>
        </w:tc>
        <w:tc>
          <w:tcPr>
            <w:tcW w:w="2336" w:type="dxa"/>
            <w:vAlign w:val="top"/>
          </w:tcPr>
          <w:p w14:paraId="2596171E">
            <w:pPr>
              <w:rPr>
                <w:rFonts w:ascii="Arial"/>
                <w:sz w:val="21"/>
              </w:rPr>
            </w:pPr>
          </w:p>
        </w:tc>
        <w:tc>
          <w:tcPr>
            <w:tcW w:w="1664" w:type="dxa"/>
            <w:vAlign w:val="top"/>
          </w:tcPr>
          <w:p w14:paraId="09029C23">
            <w:pPr>
              <w:rPr>
                <w:rFonts w:ascii="Arial"/>
                <w:sz w:val="21"/>
              </w:rPr>
            </w:pPr>
          </w:p>
        </w:tc>
        <w:tc>
          <w:tcPr>
            <w:tcW w:w="1386" w:type="dxa"/>
            <w:vAlign w:val="top"/>
          </w:tcPr>
          <w:p w14:paraId="1CFBF3EF">
            <w:pPr>
              <w:rPr>
                <w:rFonts w:ascii="Arial"/>
                <w:sz w:val="21"/>
              </w:rPr>
            </w:pPr>
          </w:p>
        </w:tc>
        <w:tc>
          <w:tcPr>
            <w:tcW w:w="2212" w:type="dxa"/>
            <w:vAlign w:val="top"/>
          </w:tcPr>
          <w:p w14:paraId="148562DF">
            <w:pPr>
              <w:rPr>
                <w:rFonts w:ascii="Arial"/>
                <w:sz w:val="21"/>
              </w:rPr>
            </w:pPr>
          </w:p>
        </w:tc>
        <w:tc>
          <w:tcPr>
            <w:tcW w:w="1209" w:type="dxa"/>
            <w:vAlign w:val="top"/>
          </w:tcPr>
          <w:p w14:paraId="2F86F22B">
            <w:pPr>
              <w:rPr>
                <w:rFonts w:ascii="Arial"/>
                <w:sz w:val="21"/>
              </w:rPr>
            </w:pPr>
          </w:p>
        </w:tc>
        <w:tc>
          <w:tcPr>
            <w:tcW w:w="1074" w:type="dxa"/>
            <w:vAlign w:val="top"/>
          </w:tcPr>
          <w:p w14:paraId="47E7439A">
            <w:pPr>
              <w:rPr>
                <w:rFonts w:ascii="Arial"/>
                <w:sz w:val="21"/>
              </w:rPr>
            </w:pPr>
          </w:p>
        </w:tc>
        <w:tc>
          <w:tcPr>
            <w:tcW w:w="1055" w:type="dxa"/>
            <w:vAlign w:val="top"/>
          </w:tcPr>
          <w:p w14:paraId="478361CC">
            <w:pPr>
              <w:rPr>
                <w:rFonts w:ascii="Arial"/>
                <w:sz w:val="21"/>
              </w:rPr>
            </w:pPr>
          </w:p>
        </w:tc>
        <w:tc>
          <w:tcPr>
            <w:tcW w:w="1401" w:type="dxa"/>
            <w:vAlign w:val="top"/>
          </w:tcPr>
          <w:p w14:paraId="09F6A855">
            <w:pPr>
              <w:rPr>
                <w:rFonts w:ascii="Arial"/>
                <w:sz w:val="21"/>
              </w:rPr>
            </w:pPr>
          </w:p>
        </w:tc>
      </w:tr>
    </w:tbl>
    <w:p w14:paraId="68BA3FAC">
      <w:pPr>
        <w:spacing w:before="131" w:line="217" w:lineRule="auto"/>
        <w:ind w:left="433"/>
        <w:rPr>
          <w:rFonts w:ascii="仿宋" w:hAnsi="仿宋" w:eastAsia="仿宋" w:cs="仿宋"/>
          <w:sz w:val="18"/>
          <w:szCs w:val="18"/>
        </w:rPr>
      </w:pPr>
      <w:r>
        <w:rPr>
          <w:rFonts w:ascii="仿宋" w:hAnsi="仿宋" w:eastAsia="仿宋" w:cs="仿宋"/>
          <w:sz w:val="18"/>
          <w:szCs w:val="18"/>
        </w:rPr>
        <w:t>注：拐点坐标只提取了能框出大致范围的坐标串，详细范围</w:t>
      </w:r>
      <w:r>
        <w:rPr>
          <w:rFonts w:ascii="仿宋" w:hAnsi="仿宋" w:eastAsia="仿宋" w:cs="仿宋"/>
          <w:spacing w:val="-1"/>
          <w:sz w:val="18"/>
          <w:szCs w:val="18"/>
        </w:rPr>
        <w:t>以数据库空间矢量图为准。</w:t>
      </w:r>
    </w:p>
    <w:p w14:paraId="3C170D0F">
      <w:pPr>
        <w:spacing w:line="217" w:lineRule="auto"/>
        <w:rPr>
          <w:rFonts w:ascii="仿宋" w:hAnsi="仿宋" w:eastAsia="仿宋" w:cs="仿宋"/>
          <w:sz w:val="18"/>
          <w:szCs w:val="18"/>
        </w:rPr>
        <w:sectPr>
          <w:footerReference r:id="rId53" w:type="default"/>
          <w:pgSz w:w="16835" w:h="11904"/>
          <w:pgMar w:top="1011" w:right="1147" w:bottom="1287" w:left="1377" w:header="0" w:footer="920" w:gutter="0"/>
          <w:cols w:space="720" w:num="1"/>
        </w:sectPr>
      </w:pPr>
    </w:p>
    <w:p w14:paraId="124658D1">
      <w:pPr>
        <w:pStyle w:val="2"/>
        <w:spacing w:line="269" w:lineRule="auto"/>
      </w:pPr>
    </w:p>
    <w:p w14:paraId="395E0271">
      <w:pPr>
        <w:pStyle w:val="2"/>
        <w:spacing w:line="269" w:lineRule="auto"/>
      </w:pPr>
    </w:p>
    <w:p w14:paraId="7C6F160A">
      <w:pPr>
        <w:pStyle w:val="2"/>
        <w:spacing w:line="270" w:lineRule="auto"/>
      </w:pPr>
    </w:p>
    <w:p w14:paraId="636C7967">
      <w:pPr>
        <w:pStyle w:val="2"/>
        <w:spacing w:before="100" w:line="225" w:lineRule="auto"/>
        <w:ind w:left="1003"/>
        <w:outlineLvl w:val="0"/>
        <w:rPr>
          <w:rFonts w:ascii="黑体" w:hAnsi="黑体" w:eastAsia="黑体" w:cs="黑体"/>
          <w:sz w:val="31"/>
          <w:szCs w:val="31"/>
        </w:rPr>
      </w:pPr>
      <w:r>
        <w:rPr>
          <w:rFonts w:ascii="黑体" w:hAnsi="黑体" w:eastAsia="黑体" w:cs="黑体"/>
          <w:spacing w:val="6"/>
          <w:sz w:val="31"/>
          <w:szCs w:val="31"/>
        </w:rPr>
        <w:t>附表</w:t>
      </w:r>
      <w:r>
        <w:rPr>
          <w:rFonts w:ascii="黑体" w:hAnsi="黑体" w:eastAsia="黑体" w:cs="黑体"/>
          <w:spacing w:val="-55"/>
          <w:sz w:val="31"/>
          <w:szCs w:val="31"/>
        </w:rPr>
        <w:t xml:space="preserve"> </w:t>
      </w:r>
      <w:r>
        <w:rPr>
          <w:spacing w:val="6"/>
          <w:sz w:val="31"/>
          <w:szCs w:val="31"/>
        </w:rPr>
        <w:t>4</w:t>
      </w:r>
      <w:r>
        <w:rPr>
          <w:spacing w:val="1"/>
          <w:sz w:val="31"/>
          <w:szCs w:val="31"/>
        </w:rPr>
        <w:t xml:space="preserve">    </w:t>
      </w:r>
      <w:r>
        <w:rPr>
          <w:rFonts w:ascii="黑体" w:hAnsi="黑体" w:eastAsia="黑体" w:cs="黑体"/>
          <w:spacing w:val="6"/>
          <w:sz w:val="31"/>
          <w:szCs w:val="31"/>
        </w:rPr>
        <w:t>阿坝州矿产资源重点勘查区表</w:t>
      </w:r>
    </w:p>
    <w:p w14:paraId="34B8661E">
      <w:pPr>
        <w:spacing w:line="120" w:lineRule="exact"/>
      </w:pPr>
    </w:p>
    <w:tbl>
      <w:tblPr>
        <w:tblStyle w:val="5"/>
        <w:tblW w:w="143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787"/>
        <w:gridCol w:w="1338"/>
        <w:gridCol w:w="1070"/>
        <w:gridCol w:w="940"/>
        <w:gridCol w:w="4994"/>
        <w:gridCol w:w="1026"/>
        <w:gridCol w:w="1362"/>
        <w:gridCol w:w="1353"/>
        <w:gridCol w:w="888"/>
      </w:tblGrid>
      <w:tr w14:paraId="07BDA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638" w:type="dxa"/>
            <w:textDirection w:val="tbRlV"/>
            <w:vAlign w:val="top"/>
          </w:tcPr>
          <w:p w14:paraId="12D467FD">
            <w:pPr>
              <w:spacing w:before="163" w:line="210" w:lineRule="auto"/>
              <w:ind w:left="149"/>
              <w:rPr>
                <w:rFonts w:ascii="黑体" w:hAnsi="黑体" w:eastAsia="黑体" w:cs="黑体"/>
                <w:sz w:val="28"/>
                <w:szCs w:val="28"/>
              </w:rPr>
            </w:pPr>
            <w:r>
              <w:rPr>
                <w:rFonts w:ascii="黑体" w:hAnsi="黑体" w:eastAsia="黑体" w:cs="黑体"/>
                <w:spacing w:val="7"/>
                <w:sz w:val="28"/>
                <w:szCs w:val="28"/>
              </w:rPr>
              <w:t>序</w:t>
            </w:r>
            <w:r>
              <w:rPr>
                <w:rFonts w:ascii="黑体" w:hAnsi="黑体" w:eastAsia="黑体" w:cs="黑体"/>
                <w:spacing w:val="28"/>
                <w:sz w:val="28"/>
                <w:szCs w:val="28"/>
              </w:rPr>
              <w:t xml:space="preserve">  </w:t>
            </w:r>
            <w:r>
              <w:rPr>
                <w:rFonts w:ascii="黑体" w:hAnsi="黑体" w:eastAsia="黑体" w:cs="黑体"/>
                <w:spacing w:val="7"/>
                <w:sz w:val="28"/>
                <w:szCs w:val="28"/>
              </w:rPr>
              <w:t>号</w:t>
            </w:r>
          </w:p>
        </w:tc>
        <w:tc>
          <w:tcPr>
            <w:tcW w:w="787" w:type="dxa"/>
            <w:vAlign w:val="top"/>
          </w:tcPr>
          <w:p w14:paraId="2FE5952E">
            <w:pPr>
              <w:spacing w:line="368" w:lineRule="auto"/>
              <w:rPr>
                <w:rFonts w:ascii="Arial"/>
                <w:sz w:val="21"/>
              </w:rPr>
            </w:pPr>
          </w:p>
          <w:p w14:paraId="4083DE60">
            <w:pPr>
              <w:spacing w:before="91" w:line="223" w:lineRule="auto"/>
              <w:ind w:left="123"/>
              <w:rPr>
                <w:rFonts w:ascii="黑体" w:hAnsi="黑体" w:eastAsia="黑体" w:cs="黑体"/>
                <w:sz w:val="28"/>
                <w:szCs w:val="28"/>
              </w:rPr>
            </w:pPr>
            <w:r>
              <w:rPr>
                <w:rFonts w:ascii="黑体" w:hAnsi="黑体" w:eastAsia="黑体" w:cs="黑体"/>
                <w:spacing w:val="-2"/>
                <w:sz w:val="28"/>
                <w:szCs w:val="28"/>
              </w:rPr>
              <w:t>编号</w:t>
            </w:r>
          </w:p>
        </w:tc>
        <w:tc>
          <w:tcPr>
            <w:tcW w:w="1338" w:type="dxa"/>
            <w:vAlign w:val="top"/>
          </w:tcPr>
          <w:p w14:paraId="111F099C">
            <w:pPr>
              <w:spacing w:line="367" w:lineRule="auto"/>
              <w:rPr>
                <w:rFonts w:ascii="Arial"/>
                <w:sz w:val="21"/>
              </w:rPr>
            </w:pPr>
          </w:p>
          <w:p w14:paraId="56AC7BC7">
            <w:pPr>
              <w:spacing w:before="91" w:line="224" w:lineRule="auto"/>
              <w:ind w:left="406"/>
              <w:rPr>
                <w:rFonts w:ascii="黑体" w:hAnsi="黑体" w:eastAsia="黑体" w:cs="黑体"/>
                <w:sz w:val="28"/>
                <w:szCs w:val="28"/>
              </w:rPr>
            </w:pPr>
            <w:r>
              <w:rPr>
                <w:rFonts w:ascii="黑体" w:hAnsi="黑体" w:eastAsia="黑体" w:cs="黑体"/>
                <w:spacing w:val="-6"/>
                <w:sz w:val="28"/>
                <w:szCs w:val="28"/>
              </w:rPr>
              <w:t>名称</w:t>
            </w:r>
          </w:p>
        </w:tc>
        <w:tc>
          <w:tcPr>
            <w:tcW w:w="1070" w:type="dxa"/>
            <w:vAlign w:val="top"/>
          </w:tcPr>
          <w:p w14:paraId="3514EB25">
            <w:pPr>
              <w:spacing w:before="150" w:line="361" w:lineRule="auto"/>
              <w:ind w:left="268" w:right="99" w:hanging="133"/>
              <w:rPr>
                <w:rFonts w:ascii="黑体" w:hAnsi="黑体" w:eastAsia="黑体" w:cs="黑体"/>
                <w:sz w:val="28"/>
                <w:szCs w:val="28"/>
              </w:rPr>
            </w:pPr>
            <w:r>
              <w:rPr>
                <w:rFonts w:ascii="黑体" w:hAnsi="黑体" w:eastAsia="黑体" w:cs="黑体"/>
                <w:spacing w:val="-4"/>
                <w:sz w:val="28"/>
                <w:szCs w:val="28"/>
              </w:rPr>
              <w:t>所在行</w:t>
            </w:r>
            <w:r>
              <w:rPr>
                <w:rFonts w:ascii="黑体" w:hAnsi="黑体" w:eastAsia="黑体" w:cs="黑体"/>
                <w:spacing w:val="-3"/>
                <w:sz w:val="28"/>
                <w:szCs w:val="28"/>
              </w:rPr>
              <w:t>政区</w:t>
            </w:r>
          </w:p>
        </w:tc>
        <w:tc>
          <w:tcPr>
            <w:tcW w:w="940" w:type="dxa"/>
            <w:vAlign w:val="top"/>
          </w:tcPr>
          <w:p w14:paraId="4EF7AE75">
            <w:pPr>
              <w:spacing w:before="150" w:line="358" w:lineRule="auto"/>
              <w:ind w:left="223" w:right="144" w:hanging="7"/>
              <w:rPr>
                <w:rFonts w:ascii="黑体" w:hAnsi="黑体" w:eastAsia="黑体" w:cs="黑体"/>
                <w:sz w:val="28"/>
                <w:szCs w:val="28"/>
              </w:rPr>
            </w:pPr>
            <w:r>
              <w:rPr>
                <w:rFonts w:ascii="黑体" w:hAnsi="黑体" w:eastAsia="黑体" w:cs="黑体"/>
                <w:spacing w:val="-9"/>
                <w:sz w:val="28"/>
                <w:szCs w:val="28"/>
              </w:rPr>
              <w:t>面积</w:t>
            </w:r>
            <w:r>
              <w:rPr>
                <w:rFonts w:ascii="黑体" w:hAnsi="黑体" w:eastAsia="黑体" w:cs="黑体"/>
                <w:spacing w:val="-15"/>
                <w:w w:val="96"/>
                <w:sz w:val="28"/>
                <w:szCs w:val="28"/>
              </w:rPr>
              <w:t>(Km</w:t>
            </w:r>
            <w:r>
              <w:rPr>
                <w:rFonts w:ascii="黑体" w:hAnsi="黑体" w:eastAsia="黑体" w:cs="黑体"/>
                <w:spacing w:val="-2"/>
                <w:position w:val="1"/>
                <w:sz w:val="14"/>
                <w:szCs w:val="14"/>
              </w:rPr>
              <w:t>2</w:t>
            </w:r>
            <w:r>
              <w:rPr>
                <w:rFonts w:ascii="黑体" w:hAnsi="黑体" w:eastAsia="黑体" w:cs="黑体"/>
                <w:spacing w:val="-2"/>
                <w:position w:val="1"/>
                <w:sz w:val="28"/>
                <w:szCs w:val="28"/>
              </w:rPr>
              <w:t>)</w:t>
            </w:r>
          </w:p>
        </w:tc>
        <w:tc>
          <w:tcPr>
            <w:tcW w:w="4994" w:type="dxa"/>
            <w:vAlign w:val="top"/>
          </w:tcPr>
          <w:p w14:paraId="62DBB3DF">
            <w:pPr>
              <w:spacing w:line="368" w:lineRule="auto"/>
              <w:rPr>
                <w:rFonts w:ascii="Arial"/>
                <w:sz w:val="21"/>
              </w:rPr>
            </w:pPr>
          </w:p>
          <w:p w14:paraId="2CB1837A">
            <w:pPr>
              <w:spacing w:before="91" w:line="225" w:lineRule="auto"/>
              <w:ind w:left="1958"/>
              <w:rPr>
                <w:rFonts w:ascii="黑体" w:hAnsi="黑体" w:eastAsia="黑体" w:cs="黑体"/>
                <w:sz w:val="28"/>
                <w:szCs w:val="28"/>
              </w:rPr>
            </w:pPr>
            <w:r>
              <w:rPr>
                <w:rFonts w:ascii="黑体" w:hAnsi="黑体" w:eastAsia="黑体" w:cs="黑体"/>
                <w:spacing w:val="-3"/>
                <w:sz w:val="28"/>
                <w:szCs w:val="28"/>
              </w:rPr>
              <w:t>拐点坐标</w:t>
            </w:r>
          </w:p>
        </w:tc>
        <w:tc>
          <w:tcPr>
            <w:tcW w:w="1026" w:type="dxa"/>
            <w:vAlign w:val="top"/>
          </w:tcPr>
          <w:p w14:paraId="72211566">
            <w:pPr>
              <w:spacing w:before="150" w:line="224" w:lineRule="auto"/>
              <w:ind w:left="253"/>
              <w:rPr>
                <w:rFonts w:ascii="黑体" w:hAnsi="黑体" w:eastAsia="黑体" w:cs="黑体"/>
                <w:sz w:val="28"/>
                <w:szCs w:val="28"/>
              </w:rPr>
            </w:pPr>
            <w:r>
              <w:rPr>
                <w:rFonts w:ascii="黑体" w:hAnsi="黑体" w:eastAsia="黑体" w:cs="黑体"/>
                <w:spacing w:val="-5"/>
                <w:sz w:val="28"/>
                <w:szCs w:val="28"/>
              </w:rPr>
              <w:t>主要</w:t>
            </w:r>
          </w:p>
          <w:p w14:paraId="3325E146">
            <w:pPr>
              <w:spacing w:before="283" w:line="223" w:lineRule="auto"/>
              <w:ind w:left="247"/>
              <w:rPr>
                <w:rFonts w:ascii="黑体" w:hAnsi="黑体" w:eastAsia="黑体" w:cs="黑体"/>
                <w:sz w:val="28"/>
                <w:szCs w:val="28"/>
              </w:rPr>
            </w:pPr>
            <w:r>
              <w:rPr>
                <w:rFonts w:ascii="黑体" w:hAnsi="黑体" w:eastAsia="黑体" w:cs="黑体"/>
                <w:spacing w:val="-2"/>
                <w:sz w:val="28"/>
                <w:szCs w:val="28"/>
              </w:rPr>
              <w:t>矿种</w:t>
            </w:r>
          </w:p>
        </w:tc>
        <w:tc>
          <w:tcPr>
            <w:tcW w:w="1362" w:type="dxa"/>
            <w:vAlign w:val="top"/>
          </w:tcPr>
          <w:p w14:paraId="48D997DD">
            <w:pPr>
              <w:spacing w:before="150" w:line="361" w:lineRule="auto"/>
              <w:ind w:left="276" w:right="105" w:hanging="119"/>
              <w:rPr>
                <w:rFonts w:ascii="黑体" w:hAnsi="黑体" w:eastAsia="黑体" w:cs="黑体"/>
                <w:sz w:val="28"/>
                <w:szCs w:val="28"/>
              </w:rPr>
            </w:pPr>
            <w:r>
              <w:rPr>
                <w:rFonts w:ascii="黑体" w:hAnsi="黑体" w:eastAsia="黑体" w:cs="黑体"/>
                <w:spacing w:val="-7"/>
                <w:sz w:val="28"/>
                <w:szCs w:val="28"/>
              </w:rPr>
              <w:t>已设探矿</w:t>
            </w:r>
            <w:r>
              <w:rPr>
                <w:rFonts w:ascii="黑体" w:hAnsi="黑体" w:eastAsia="黑体" w:cs="黑体"/>
                <w:spacing w:val="-1"/>
                <w:sz w:val="28"/>
                <w:szCs w:val="28"/>
              </w:rPr>
              <w:t>权数量</w:t>
            </w:r>
          </w:p>
        </w:tc>
        <w:tc>
          <w:tcPr>
            <w:tcW w:w="1353" w:type="dxa"/>
            <w:vAlign w:val="top"/>
          </w:tcPr>
          <w:p w14:paraId="00EE619A">
            <w:pPr>
              <w:spacing w:before="150" w:line="361" w:lineRule="auto"/>
              <w:ind w:left="272" w:right="100" w:hanging="136"/>
              <w:rPr>
                <w:rFonts w:ascii="黑体" w:hAnsi="黑体" w:eastAsia="黑体" w:cs="黑体"/>
                <w:sz w:val="28"/>
                <w:szCs w:val="28"/>
              </w:rPr>
            </w:pPr>
            <w:r>
              <w:rPr>
                <w:rFonts w:ascii="黑体" w:hAnsi="黑体" w:eastAsia="黑体" w:cs="黑体"/>
                <w:spacing w:val="-3"/>
                <w:sz w:val="28"/>
                <w:szCs w:val="28"/>
              </w:rPr>
              <w:t>拟设探矿</w:t>
            </w:r>
            <w:r>
              <w:rPr>
                <w:rFonts w:ascii="黑体" w:hAnsi="黑体" w:eastAsia="黑体" w:cs="黑体"/>
                <w:spacing w:val="-2"/>
                <w:sz w:val="28"/>
                <w:szCs w:val="28"/>
              </w:rPr>
              <w:t>权数量</w:t>
            </w:r>
          </w:p>
        </w:tc>
        <w:tc>
          <w:tcPr>
            <w:tcW w:w="888" w:type="dxa"/>
            <w:vAlign w:val="top"/>
          </w:tcPr>
          <w:p w14:paraId="1C9FD00F">
            <w:pPr>
              <w:spacing w:line="367" w:lineRule="auto"/>
              <w:rPr>
                <w:rFonts w:ascii="Arial"/>
                <w:sz w:val="21"/>
              </w:rPr>
            </w:pPr>
          </w:p>
          <w:p w14:paraId="4AC571B6">
            <w:pPr>
              <w:spacing w:before="91" w:line="224" w:lineRule="auto"/>
              <w:ind w:left="179"/>
              <w:rPr>
                <w:rFonts w:ascii="黑体" w:hAnsi="黑体" w:eastAsia="黑体" w:cs="黑体"/>
                <w:sz w:val="28"/>
                <w:szCs w:val="28"/>
              </w:rPr>
            </w:pPr>
            <w:r>
              <w:rPr>
                <w:rFonts w:ascii="黑体" w:hAnsi="黑体" w:eastAsia="黑体" w:cs="黑体"/>
                <w:spacing w:val="-3"/>
                <w:sz w:val="28"/>
                <w:szCs w:val="28"/>
              </w:rPr>
              <w:t>备注</w:t>
            </w:r>
          </w:p>
        </w:tc>
      </w:tr>
      <w:tr w14:paraId="25AE1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638" w:type="dxa"/>
            <w:vAlign w:val="top"/>
          </w:tcPr>
          <w:p w14:paraId="72283E5D">
            <w:pPr>
              <w:spacing w:line="249" w:lineRule="auto"/>
              <w:rPr>
                <w:rFonts w:ascii="Arial"/>
                <w:sz w:val="21"/>
              </w:rPr>
            </w:pPr>
          </w:p>
          <w:p w14:paraId="7FD34D69">
            <w:pPr>
              <w:spacing w:before="68" w:line="276" w:lineRule="exact"/>
              <w:ind w:left="294"/>
              <w:rPr>
                <w:rFonts w:ascii="楷体" w:hAnsi="楷体" w:eastAsia="楷体" w:cs="楷体"/>
                <w:sz w:val="21"/>
                <w:szCs w:val="21"/>
              </w:rPr>
            </w:pPr>
            <w:r>
              <w:rPr>
                <w:rFonts w:ascii="楷体" w:hAnsi="楷体" w:eastAsia="楷体" w:cs="楷体"/>
                <w:position w:val="1"/>
                <w:sz w:val="21"/>
                <w:szCs w:val="21"/>
              </w:rPr>
              <w:t>1</w:t>
            </w:r>
          </w:p>
        </w:tc>
        <w:tc>
          <w:tcPr>
            <w:tcW w:w="787" w:type="dxa"/>
            <w:vAlign w:val="top"/>
          </w:tcPr>
          <w:p w14:paraId="789E5067">
            <w:pPr>
              <w:spacing w:line="248" w:lineRule="auto"/>
              <w:rPr>
                <w:rFonts w:ascii="Arial"/>
                <w:sz w:val="21"/>
              </w:rPr>
            </w:pPr>
          </w:p>
          <w:p w14:paraId="377F2557">
            <w:pPr>
              <w:spacing w:before="69" w:line="238" w:lineRule="auto"/>
              <w:ind w:left="142"/>
              <w:rPr>
                <w:rFonts w:ascii="楷体" w:hAnsi="楷体" w:eastAsia="楷体" w:cs="楷体"/>
                <w:sz w:val="21"/>
                <w:szCs w:val="21"/>
              </w:rPr>
            </w:pPr>
            <w:r>
              <w:rPr>
                <w:rFonts w:ascii="楷体" w:hAnsi="楷体" w:eastAsia="楷体" w:cs="楷体"/>
                <w:spacing w:val="-2"/>
                <w:sz w:val="21"/>
                <w:szCs w:val="21"/>
              </w:rPr>
              <w:t>KZ001</w:t>
            </w:r>
          </w:p>
        </w:tc>
        <w:tc>
          <w:tcPr>
            <w:tcW w:w="1338" w:type="dxa"/>
            <w:vAlign w:val="top"/>
          </w:tcPr>
          <w:p w14:paraId="31CDBD96">
            <w:pPr>
              <w:spacing w:before="35" w:line="219" w:lineRule="auto"/>
              <w:ind w:left="166"/>
              <w:rPr>
                <w:rFonts w:ascii="楷体" w:hAnsi="楷体" w:eastAsia="楷体" w:cs="楷体"/>
                <w:sz w:val="21"/>
                <w:szCs w:val="21"/>
              </w:rPr>
            </w:pPr>
            <w:r>
              <w:rPr>
                <w:rFonts w:ascii="楷体" w:hAnsi="楷体" w:eastAsia="楷体" w:cs="楷体"/>
                <w:spacing w:val="-4"/>
                <w:sz w:val="21"/>
                <w:szCs w:val="21"/>
              </w:rPr>
              <w:t>四川阿坝可</w:t>
            </w:r>
          </w:p>
          <w:p w14:paraId="4BBBF957">
            <w:pPr>
              <w:spacing w:before="33" w:line="226" w:lineRule="auto"/>
              <w:ind w:left="566" w:right="133" w:hanging="382"/>
              <w:rPr>
                <w:rFonts w:ascii="楷体" w:hAnsi="楷体" w:eastAsia="楷体" w:cs="楷体"/>
                <w:sz w:val="21"/>
                <w:szCs w:val="21"/>
              </w:rPr>
            </w:pPr>
            <w:r>
              <w:rPr>
                <w:rFonts w:ascii="楷体" w:hAnsi="楷体" w:eastAsia="楷体" w:cs="楷体"/>
                <w:spacing w:val="-7"/>
                <w:sz w:val="21"/>
                <w:szCs w:val="21"/>
              </w:rPr>
              <w:t>尔因地区锂</w:t>
            </w:r>
            <w:r>
              <w:rPr>
                <w:rFonts w:ascii="楷体" w:hAnsi="楷体" w:eastAsia="楷体" w:cs="楷体"/>
                <w:sz w:val="21"/>
                <w:szCs w:val="21"/>
              </w:rPr>
              <w:t>矿</w:t>
            </w:r>
          </w:p>
        </w:tc>
        <w:tc>
          <w:tcPr>
            <w:tcW w:w="1070" w:type="dxa"/>
            <w:vAlign w:val="top"/>
          </w:tcPr>
          <w:p w14:paraId="75E35586">
            <w:pPr>
              <w:spacing w:line="248" w:lineRule="auto"/>
              <w:rPr>
                <w:rFonts w:ascii="Arial"/>
                <w:sz w:val="21"/>
              </w:rPr>
            </w:pPr>
          </w:p>
          <w:p w14:paraId="50FE9FE9">
            <w:pPr>
              <w:spacing w:before="69" w:line="225" w:lineRule="auto"/>
              <w:ind w:left="249"/>
              <w:rPr>
                <w:rFonts w:ascii="楷体" w:hAnsi="楷体" w:eastAsia="楷体" w:cs="楷体"/>
                <w:sz w:val="21"/>
                <w:szCs w:val="21"/>
              </w:rPr>
            </w:pPr>
            <w:r>
              <w:rPr>
                <w:rFonts w:ascii="楷体" w:hAnsi="楷体" w:eastAsia="楷体" w:cs="楷体"/>
                <w:spacing w:val="-7"/>
                <w:sz w:val="21"/>
                <w:szCs w:val="21"/>
              </w:rPr>
              <w:t>阿坝州</w:t>
            </w:r>
          </w:p>
        </w:tc>
        <w:tc>
          <w:tcPr>
            <w:tcW w:w="940" w:type="dxa"/>
            <w:vAlign w:val="top"/>
          </w:tcPr>
          <w:p w14:paraId="1DFB1FAA">
            <w:pPr>
              <w:spacing w:line="248" w:lineRule="auto"/>
              <w:rPr>
                <w:rFonts w:ascii="Arial"/>
                <w:sz w:val="21"/>
              </w:rPr>
            </w:pPr>
          </w:p>
          <w:p w14:paraId="11C2A194">
            <w:pPr>
              <w:spacing w:before="69" w:line="238" w:lineRule="auto"/>
              <w:ind w:left="178"/>
              <w:rPr>
                <w:rFonts w:ascii="楷体" w:hAnsi="楷体" w:eastAsia="楷体" w:cs="楷体"/>
                <w:sz w:val="21"/>
                <w:szCs w:val="21"/>
              </w:rPr>
            </w:pPr>
            <w:r>
              <w:rPr>
                <w:rFonts w:ascii="楷体" w:hAnsi="楷体" w:eastAsia="楷体" w:cs="楷体"/>
                <w:spacing w:val="-3"/>
                <w:sz w:val="21"/>
                <w:szCs w:val="21"/>
              </w:rPr>
              <w:t>535.07</w:t>
            </w:r>
          </w:p>
        </w:tc>
        <w:tc>
          <w:tcPr>
            <w:tcW w:w="4994" w:type="dxa"/>
            <w:vAlign w:val="top"/>
          </w:tcPr>
          <w:p w14:paraId="645A8001">
            <w:pPr>
              <w:rPr>
                <w:rFonts w:ascii="Arial"/>
                <w:sz w:val="21"/>
              </w:rPr>
            </w:pPr>
          </w:p>
        </w:tc>
        <w:tc>
          <w:tcPr>
            <w:tcW w:w="1026" w:type="dxa"/>
            <w:vAlign w:val="top"/>
          </w:tcPr>
          <w:p w14:paraId="3F972D79">
            <w:pPr>
              <w:spacing w:line="249" w:lineRule="auto"/>
              <w:rPr>
                <w:rFonts w:ascii="Arial"/>
                <w:sz w:val="21"/>
              </w:rPr>
            </w:pPr>
          </w:p>
          <w:p w14:paraId="578B3097">
            <w:pPr>
              <w:spacing w:before="68" w:line="228" w:lineRule="auto"/>
              <w:ind w:left="312"/>
              <w:rPr>
                <w:rFonts w:ascii="楷体" w:hAnsi="楷体" w:eastAsia="楷体" w:cs="楷体"/>
                <w:sz w:val="21"/>
                <w:szCs w:val="21"/>
              </w:rPr>
            </w:pPr>
            <w:r>
              <w:rPr>
                <w:rFonts w:ascii="楷体" w:hAnsi="楷体" w:eastAsia="楷体" w:cs="楷体"/>
                <w:spacing w:val="-1"/>
                <w:sz w:val="21"/>
                <w:szCs w:val="21"/>
              </w:rPr>
              <w:t>锂矿</w:t>
            </w:r>
          </w:p>
        </w:tc>
        <w:tc>
          <w:tcPr>
            <w:tcW w:w="1362" w:type="dxa"/>
            <w:vAlign w:val="top"/>
          </w:tcPr>
          <w:p w14:paraId="1F9336DC">
            <w:pPr>
              <w:spacing w:line="249" w:lineRule="auto"/>
              <w:rPr>
                <w:rFonts w:ascii="Arial"/>
                <w:sz w:val="21"/>
              </w:rPr>
            </w:pPr>
          </w:p>
          <w:p w14:paraId="6A7DA9AB">
            <w:pPr>
              <w:spacing w:before="68" w:line="276" w:lineRule="exact"/>
              <w:ind w:left="655"/>
              <w:rPr>
                <w:rFonts w:ascii="楷体" w:hAnsi="楷体" w:eastAsia="楷体" w:cs="楷体"/>
                <w:sz w:val="21"/>
                <w:szCs w:val="21"/>
              </w:rPr>
            </w:pPr>
            <w:r>
              <w:rPr>
                <w:rFonts w:ascii="楷体" w:hAnsi="楷体" w:eastAsia="楷体" w:cs="楷体"/>
                <w:position w:val="1"/>
                <w:sz w:val="21"/>
                <w:szCs w:val="21"/>
              </w:rPr>
              <w:t>7</w:t>
            </w:r>
          </w:p>
        </w:tc>
        <w:tc>
          <w:tcPr>
            <w:tcW w:w="1353" w:type="dxa"/>
            <w:vAlign w:val="top"/>
          </w:tcPr>
          <w:p w14:paraId="124CBDDF">
            <w:pPr>
              <w:spacing w:line="248" w:lineRule="auto"/>
              <w:rPr>
                <w:rFonts w:ascii="Arial"/>
                <w:sz w:val="21"/>
              </w:rPr>
            </w:pPr>
          </w:p>
          <w:p w14:paraId="61606647">
            <w:pPr>
              <w:spacing w:before="69" w:line="238" w:lineRule="auto"/>
              <w:ind w:left="656"/>
              <w:rPr>
                <w:rFonts w:ascii="楷体" w:hAnsi="楷体" w:eastAsia="楷体" w:cs="楷体"/>
                <w:sz w:val="21"/>
                <w:szCs w:val="21"/>
              </w:rPr>
            </w:pPr>
            <w:r>
              <w:rPr>
                <w:rFonts w:ascii="楷体" w:hAnsi="楷体" w:eastAsia="楷体" w:cs="楷体"/>
                <w:sz w:val="21"/>
                <w:szCs w:val="21"/>
              </w:rPr>
              <w:t>0</w:t>
            </w:r>
          </w:p>
        </w:tc>
        <w:tc>
          <w:tcPr>
            <w:tcW w:w="888" w:type="dxa"/>
            <w:vAlign w:val="top"/>
          </w:tcPr>
          <w:p w14:paraId="6947B767">
            <w:pPr>
              <w:spacing w:line="249" w:lineRule="auto"/>
              <w:rPr>
                <w:rFonts w:ascii="Arial"/>
                <w:sz w:val="21"/>
              </w:rPr>
            </w:pPr>
          </w:p>
          <w:p w14:paraId="0E618BD9">
            <w:pPr>
              <w:spacing w:before="68" w:line="219" w:lineRule="auto"/>
              <w:ind w:left="162"/>
              <w:rPr>
                <w:rFonts w:ascii="楷体" w:hAnsi="楷体" w:eastAsia="楷体" w:cs="楷体"/>
                <w:sz w:val="21"/>
                <w:szCs w:val="21"/>
              </w:rPr>
            </w:pPr>
            <w:r>
              <w:rPr>
                <w:rFonts w:ascii="楷体" w:hAnsi="楷体" w:eastAsia="楷体" w:cs="楷体"/>
                <w:spacing w:val="-9"/>
                <w:sz w:val="21"/>
                <w:szCs w:val="21"/>
              </w:rPr>
              <w:t>国家级</w:t>
            </w:r>
          </w:p>
        </w:tc>
      </w:tr>
      <w:tr w14:paraId="6996B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638" w:type="dxa"/>
            <w:vAlign w:val="top"/>
          </w:tcPr>
          <w:p w14:paraId="58B61047">
            <w:pPr>
              <w:spacing w:line="250" w:lineRule="auto"/>
              <w:rPr>
                <w:rFonts w:ascii="Arial"/>
                <w:sz w:val="21"/>
              </w:rPr>
            </w:pPr>
          </w:p>
          <w:p w14:paraId="4CF7E755">
            <w:pPr>
              <w:spacing w:before="68" w:line="276" w:lineRule="exact"/>
              <w:ind w:left="289"/>
              <w:rPr>
                <w:rFonts w:ascii="楷体" w:hAnsi="楷体" w:eastAsia="楷体" w:cs="楷体"/>
                <w:sz w:val="21"/>
                <w:szCs w:val="21"/>
              </w:rPr>
            </w:pPr>
            <w:r>
              <w:rPr>
                <w:rFonts w:ascii="楷体" w:hAnsi="楷体" w:eastAsia="楷体" w:cs="楷体"/>
                <w:position w:val="1"/>
                <w:sz w:val="21"/>
                <w:szCs w:val="21"/>
              </w:rPr>
              <w:t>2</w:t>
            </w:r>
          </w:p>
        </w:tc>
        <w:tc>
          <w:tcPr>
            <w:tcW w:w="787" w:type="dxa"/>
            <w:vAlign w:val="top"/>
          </w:tcPr>
          <w:p w14:paraId="742BAB1B">
            <w:pPr>
              <w:spacing w:line="250" w:lineRule="auto"/>
              <w:rPr>
                <w:rFonts w:ascii="Arial"/>
                <w:sz w:val="21"/>
              </w:rPr>
            </w:pPr>
          </w:p>
          <w:p w14:paraId="6584EE6F">
            <w:pPr>
              <w:spacing w:before="68" w:line="238" w:lineRule="auto"/>
              <w:ind w:left="142"/>
              <w:rPr>
                <w:rFonts w:ascii="楷体" w:hAnsi="楷体" w:eastAsia="楷体" w:cs="楷体"/>
                <w:sz w:val="21"/>
                <w:szCs w:val="21"/>
              </w:rPr>
            </w:pPr>
            <w:r>
              <w:rPr>
                <w:rFonts w:ascii="楷体" w:hAnsi="楷体" w:eastAsia="楷体" w:cs="楷体"/>
                <w:spacing w:val="-2"/>
                <w:sz w:val="21"/>
                <w:szCs w:val="21"/>
              </w:rPr>
              <w:t>KZ002</w:t>
            </w:r>
          </w:p>
        </w:tc>
        <w:tc>
          <w:tcPr>
            <w:tcW w:w="1338" w:type="dxa"/>
            <w:vAlign w:val="top"/>
          </w:tcPr>
          <w:p w14:paraId="6B3ADC1E">
            <w:pPr>
              <w:spacing w:before="37" w:line="219" w:lineRule="auto"/>
              <w:ind w:left="166"/>
              <w:rPr>
                <w:rFonts w:ascii="楷体" w:hAnsi="楷体" w:eastAsia="楷体" w:cs="楷体"/>
                <w:sz w:val="21"/>
                <w:szCs w:val="21"/>
              </w:rPr>
            </w:pPr>
            <w:r>
              <w:rPr>
                <w:rFonts w:ascii="楷体" w:hAnsi="楷体" w:eastAsia="楷体" w:cs="楷体"/>
                <w:spacing w:val="-4"/>
                <w:sz w:val="21"/>
                <w:szCs w:val="21"/>
              </w:rPr>
              <w:t>四川阿坝斯</w:t>
            </w:r>
          </w:p>
          <w:p w14:paraId="1751E17B">
            <w:pPr>
              <w:spacing w:before="34" w:line="225" w:lineRule="auto"/>
              <w:ind w:left="566" w:right="133" w:hanging="401"/>
              <w:rPr>
                <w:rFonts w:ascii="楷体" w:hAnsi="楷体" w:eastAsia="楷体" w:cs="楷体"/>
                <w:sz w:val="21"/>
                <w:szCs w:val="21"/>
              </w:rPr>
            </w:pPr>
            <w:r>
              <w:rPr>
                <w:rFonts w:ascii="楷体" w:hAnsi="楷体" w:eastAsia="楷体" w:cs="楷体"/>
                <w:spacing w:val="-4"/>
                <w:sz w:val="21"/>
                <w:szCs w:val="21"/>
              </w:rPr>
              <w:t>约武锂铌钽</w:t>
            </w:r>
            <w:r>
              <w:rPr>
                <w:rFonts w:ascii="楷体" w:hAnsi="楷体" w:eastAsia="楷体" w:cs="楷体"/>
                <w:sz w:val="21"/>
                <w:szCs w:val="21"/>
              </w:rPr>
              <w:t>矿</w:t>
            </w:r>
          </w:p>
        </w:tc>
        <w:tc>
          <w:tcPr>
            <w:tcW w:w="1070" w:type="dxa"/>
            <w:vAlign w:val="top"/>
          </w:tcPr>
          <w:p w14:paraId="00B8FBB4">
            <w:pPr>
              <w:spacing w:line="250" w:lineRule="auto"/>
              <w:rPr>
                <w:rFonts w:ascii="Arial"/>
                <w:sz w:val="21"/>
              </w:rPr>
            </w:pPr>
          </w:p>
          <w:p w14:paraId="0ACC69BC">
            <w:pPr>
              <w:spacing w:before="68" w:line="225" w:lineRule="auto"/>
              <w:ind w:left="249"/>
              <w:rPr>
                <w:rFonts w:ascii="楷体" w:hAnsi="楷体" w:eastAsia="楷体" w:cs="楷体"/>
                <w:sz w:val="21"/>
                <w:szCs w:val="21"/>
              </w:rPr>
            </w:pPr>
            <w:r>
              <w:rPr>
                <w:rFonts w:ascii="楷体" w:hAnsi="楷体" w:eastAsia="楷体" w:cs="楷体"/>
                <w:spacing w:val="-7"/>
                <w:sz w:val="21"/>
                <w:szCs w:val="21"/>
              </w:rPr>
              <w:t>阿坝州</w:t>
            </w:r>
          </w:p>
        </w:tc>
        <w:tc>
          <w:tcPr>
            <w:tcW w:w="940" w:type="dxa"/>
            <w:vAlign w:val="top"/>
          </w:tcPr>
          <w:p w14:paraId="6897855A">
            <w:pPr>
              <w:spacing w:line="250" w:lineRule="auto"/>
              <w:rPr>
                <w:rFonts w:ascii="Arial"/>
                <w:sz w:val="21"/>
              </w:rPr>
            </w:pPr>
          </w:p>
          <w:p w14:paraId="3BE93F9A">
            <w:pPr>
              <w:spacing w:before="68" w:line="241" w:lineRule="auto"/>
              <w:ind w:left="184"/>
              <w:rPr>
                <w:rFonts w:ascii="楷体" w:hAnsi="楷体" w:eastAsia="楷体" w:cs="楷体"/>
                <w:sz w:val="21"/>
                <w:szCs w:val="21"/>
              </w:rPr>
            </w:pPr>
            <w:r>
              <w:rPr>
                <w:rFonts w:ascii="楷体" w:hAnsi="楷体" w:eastAsia="楷体" w:cs="楷体"/>
                <w:spacing w:val="-4"/>
                <w:sz w:val="21"/>
                <w:szCs w:val="21"/>
              </w:rPr>
              <w:t>341.33</w:t>
            </w:r>
          </w:p>
        </w:tc>
        <w:tc>
          <w:tcPr>
            <w:tcW w:w="4994" w:type="dxa"/>
            <w:vAlign w:val="top"/>
          </w:tcPr>
          <w:p w14:paraId="510228B4">
            <w:pPr>
              <w:rPr>
                <w:rFonts w:ascii="Arial"/>
                <w:sz w:val="21"/>
              </w:rPr>
            </w:pPr>
          </w:p>
        </w:tc>
        <w:tc>
          <w:tcPr>
            <w:tcW w:w="1026" w:type="dxa"/>
            <w:vAlign w:val="top"/>
          </w:tcPr>
          <w:p w14:paraId="140B5A91">
            <w:pPr>
              <w:spacing w:line="250" w:lineRule="auto"/>
              <w:rPr>
                <w:rFonts w:ascii="Arial"/>
                <w:sz w:val="21"/>
              </w:rPr>
            </w:pPr>
          </w:p>
          <w:p w14:paraId="24A2ADE2">
            <w:pPr>
              <w:spacing w:before="69" w:line="228" w:lineRule="auto"/>
              <w:ind w:left="312"/>
              <w:rPr>
                <w:rFonts w:ascii="楷体" w:hAnsi="楷体" w:eastAsia="楷体" w:cs="楷体"/>
                <w:sz w:val="21"/>
                <w:szCs w:val="21"/>
              </w:rPr>
            </w:pPr>
            <w:r>
              <w:rPr>
                <w:rFonts w:ascii="楷体" w:hAnsi="楷体" w:eastAsia="楷体" w:cs="楷体"/>
                <w:spacing w:val="-1"/>
                <w:sz w:val="21"/>
                <w:szCs w:val="21"/>
              </w:rPr>
              <w:t>锂矿</w:t>
            </w:r>
          </w:p>
        </w:tc>
        <w:tc>
          <w:tcPr>
            <w:tcW w:w="1362" w:type="dxa"/>
            <w:vAlign w:val="top"/>
          </w:tcPr>
          <w:p w14:paraId="63E91E95">
            <w:pPr>
              <w:spacing w:line="250" w:lineRule="auto"/>
              <w:rPr>
                <w:rFonts w:ascii="Arial"/>
                <w:sz w:val="21"/>
              </w:rPr>
            </w:pPr>
          </w:p>
          <w:p w14:paraId="4AC89976">
            <w:pPr>
              <w:spacing w:before="68" w:line="276" w:lineRule="exact"/>
              <w:ind w:left="659"/>
              <w:rPr>
                <w:rFonts w:ascii="楷体" w:hAnsi="楷体" w:eastAsia="楷体" w:cs="楷体"/>
                <w:sz w:val="21"/>
                <w:szCs w:val="21"/>
              </w:rPr>
            </w:pPr>
            <w:r>
              <w:rPr>
                <w:rFonts w:ascii="楷体" w:hAnsi="楷体" w:eastAsia="楷体" w:cs="楷体"/>
                <w:position w:val="1"/>
                <w:sz w:val="21"/>
                <w:szCs w:val="21"/>
              </w:rPr>
              <w:t>1</w:t>
            </w:r>
          </w:p>
        </w:tc>
        <w:tc>
          <w:tcPr>
            <w:tcW w:w="1353" w:type="dxa"/>
            <w:vAlign w:val="top"/>
          </w:tcPr>
          <w:p w14:paraId="01E587CC">
            <w:pPr>
              <w:spacing w:line="250" w:lineRule="auto"/>
              <w:rPr>
                <w:rFonts w:ascii="Arial"/>
                <w:sz w:val="21"/>
              </w:rPr>
            </w:pPr>
          </w:p>
          <w:p w14:paraId="17B27689">
            <w:pPr>
              <w:spacing w:before="68" w:line="238" w:lineRule="auto"/>
              <w:ind w:left="656"/>
              <w:rPr>
                <w:rFonts w:ascii="楷体" w:hAnsi="楷体" w:eastAsia="楷体" w:cs="楷体"/>
                <w:sz w:val="21"/>
                <w:szCs w:val="21"/>
              </w:rPr>
            </w:pPr>
            <w:r>
              <w:rPr>
                <w:rFonts w:ascii="楷体" w:hAnsi="楷体" w:eastAsia="楷体" w:cs="楷体"/>
                <w:sz w:val="21"/>
                <w:szCs w:val="21"/>
              </w:rPr>
              <w:t>0</w:t>
            </w:r>
          </w:p>
        </w:tc>
        <w:tc>
          <w:tcPr>
            <w:tcW w:w="888" w:type="dxa"/>
            <w:vAlign w:val="top"/>
          </w:tcPr>
          <w:p w14:paraId="7BA13618">
            <w:pPr>
              <w:spacing w:line="250" w:lineRule="auto"/>
              <w:rPr>
                <w:rFonts w:ascii="Arial"/>
                <w:sz w:val="21"/>
              </w:rPr>
            </w:pPr>
          </w:p>
          <w:p w14:paraId="60923B54">
            <w:pPr>
              <w:spacing w:before="68" w:line="219" w:lineRule="auto"/>
              <w:ind w:left="162"/>
              <w:rPr>
                <w:rFonts w:ascii="楷体" w:hAnsi="楷体" w:eastAsia="楷体" w:cs="楷体"/>
                <w:sz w:val="21"/>
                <w:szCs w:val="21"/>
              </w:rPr>
            </w:pPr>
            <w:r>
              <w:rPr>
                <w:rFonts w:ascii="楷体" w:hAnsi="楷体" w:eastAsia="楷体" w:cs="楷体"/>
                <w:spacing w:val="-9"/>
                <w:sz w:val="21"/>
                <w:szCs w:val="21"/>
              </w:rPr>
              <w:t>国家级</w:t>
            </w:r>
          </w:p>
        </w:tc>
      </w:tr>
      <w:tr w14:paraId="481AB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638" w:type="dxa"/>
            <w:vAlign w:val="top"/>
          </w:tcPr>
          <w:p w14:paraId="6A0B25AE">
            <w:pPr>
              <w:spacing w:before="306" w:line="241" w:lineRule="auto"/>
              <w:ind w:left="297"/>
              <w:rPr>
                <w:rFonts w:ascii="楷体" w:hAnsi="楷体" w:eastAsia="楷体" w:cs="楷体"/>
                <w:sz w:val="21"/>
                <w:szCs w:val="21"/>
              </w:rPr>
            </w:pPr>
            <w:r>
              <w:rPr>
                <w:rFonts w:ascii="楷体" w:hAnsi="楷体" w:eastAsia="楷体" w:cs="楷体"/>
                <w:sz w:val="21"/>
                <w:szCs w:val="21"/>
              </w:rPr>
              <w:t>3</w:t>
            </w:r>
          </w:p>
        </w:tc>
        <w:tc>
          <w:tcPr>
            <w:tcW w:w="787" w:type="dxa"/>
            <w:vAlign w:val="top"/>
          </w:tcPr>
          <w:p w14:paraId="0885162A">
            <w:pPr>
              <w:spacing w:before="306" w:line="238" w:lineRule="auto"/>
              <w:ind w:left="142"/>
              <w:rPr>
                <w:rFonts w:ascii="楷体" w:hAnsi="楷体" w:eastAsia="楷体" w:cs="楷体"/>
                <w:sz w:val="21"/>
                <w:szCs w:val="21"/>
              </w:rPr>
            </w:pPr>
            <w:r>
              <w:rPr>
                <w:rFonts w:ascii="楷体" w:hAnsi="楷体" w:eastAsia="楷体" w:cs="楷体"/>
                <w:spacing w:val="-2"/>
                <w:sz w:val="21"/>
                <w:szCs w:val="21"/>
              </w:rPr>
              <w:t>KZ003</w:t>
            </w:r>
          </w:p>
        </w:tc>
        <w:tc>
          <w:tcPr>
            <w:tcW w:w="1338" w:type="dxa"/>
            <w:vAlign w:val="top"/>
          </w:tcPr>
          <w:p w14:paraId="797E50C9">
            <w:pPr>
              <w:spacing w:before="163" w:line="251" w:lineRule="auto"/>
              <w:ind w:left="257" w:right="133" w:hanging="91"/>
              <w:rPr>
                <w:rFonts w:ascii="楷体" w:hAnsi="楷体" w:eastAsia="楷体" w:cs="楷体"/>
                <w:sz w:val="21"/>
                <w:szCs w:val="21"/>
              </w:rPr>
            </w:pPr>
            <w:r>
              <w:rPr>
                <w:rFonts w:ascii="楷体" w:hAnsi="楷体" w:eastAsia="楷体" w:cs="楷体"/>
                <w:spacing w:val="-4"/>
                <w:sz w:val="21"/>
                <w:szCs w:val="21"/>
              </w:rPr>
              <w:t>四川阿坝金</w:t>
            </w:r>
            <w:r>
              <w:rPr>
                <w:rFonts w:ascii="楷体" w:hAnsi="楷体" w:eastAsia="楷体" w:cs="楷体"/>
                <w:spacing w:val="-1"/>
                <w:sz w:val="21"/>
                <w:szCs w:val="21"/>
              </w:rPr>
              <w:t>木达金矿</w:t>
            </w:r>
          </w:p>
        </w:tc>
        <w:tc>
          <w:tcPr>
            <w:tcW w:w="1070" w:type="dxa"/>
            <w:vAlign w:val="top"/>
          </w:tcPr>
          <w:p w14:paraId="1BCF98DF">
            <w:pPr>
              <w:spacing w:before="307" w:line="225" w:lineRule="auto"/>
              <w:ind w:left="249"/>
              <w:rPr>
                <w:rFonts w:ascii="楷体" w:hAnsi="楷体" w:eastAsia="楷体" w:cs="楷体"/>
                <w:sz w:val="21"/>
                <w:szCs w:val="21"/>
              </w:rPr>
            </w:pPr>
            <w:r>
              <w:rPr>
                <w:rFonts w:ascii="楷体" w:hAnsi="楷体" w:eastAsia="楷体" w:cs="楷体"/>
                <w:spacing w:val="-7"/>
                <w:sz w:val="21"/>
                <w:szCs w:val="21"/>
              </w:rPr>
              <w:t>阿坝州</w:t>
            </w:r>
          </w:p>
        </w:tc>
        <w:tc>
          <w:tcPr>
            <w:tcW w:w="940" w:type="dxa"/>
            <w:vAlign w:val="top"/>
          </w:tcPr>
          <w:p w14:paraId="38955314">
            <w:pPr>
              <w:spacing w:before="307"/>
              <w:ind w:left="177"/>
              <w:rPr>
                <w:rFonts w:ascii="楷体" w:hAnsi="楷体" w:eastAsia="楷体" w:cs="楷体"/>
                <w:sz w:val="21"/>
                <w:szCs w:val="21"/>
              </w:rPr>
            </w:pPr>
            <w:r>
              <w:rPr>
                <w:rFonts w:ascii="楷体" w:hAnsi="楷体" w:eastAsia="楷体" w:cs="楷体"/>
                <w:spacing w:val="-3"/>
                <w:sz w:val="21"/>
                <w:szCs w:val="21"/>
              </w:rPr>
              <w:t>879.51</w:t>
            </w:r>
          </w:p>
        </w:tc>
        <w:tc>
          <w:tcPr>
            <w:tcW w:w="4994" w:type="dxa"/>
            <w:vAlign w:val="top"/>
          </w:tcPr>
          <w:p w14:paraId="2B33F974">
            <w:pPr>
              <w:rPr>
                <w:rFonts w:ascii="Arial"/>
                <w:sz w:val="21"/>
              </w:rPr>
            </w:pPr>
          </w:p>
        </w:tc>
        <w:tc>
          <w:tcPr>
            <w:tcW w:w="1026" w:type="dxa"/>
            <w:vAlign w:val="top"/>
          </w:tcPr>
          <w:p w14:paraId="6E8985A7">
            <w:pPr>
              <w:spacing w:before="307" w:line="228" w:lineRule="auto"/>
              <w:ind w:left="310"/>
              <w:rPr>
                <w:rFonts w:ascii="楷体" w:hAnsi="楷体" w:eastAsia="楷体" w:cs="楷体"/>
                <w:sz w:val="21"/>
                <w:szCs w:val="21"/>
              </w:rPr>
            </w:pPr>
            <w:r>
              <w:rPr>
                <w:rFonts w:ascii="楷体" w:hAnsi="楷体" w:eastAsia="楷体" w:cs="楷体"/>
                <w:spacing w:val="1"/>
                <w:sz w:val="21"/>
                <w:szCs w:val="21"/>
              </w:rPr>
              <w:t>金矿</w:t>
            </w:r>
          </w:p>
        </w:tc>
        <w:tc>
          <w:tcPr>
            <w:tcW w:w="1362" w:type="dxa"/>
            <w:vAlign w:val="top"/>
          </w:tcPr>
          <w:p w14:paraId="0C51128A">
            <w:pPr>
              <w:spacing w:before="307" w:line="276" w:lineRule="exact"/>
              <w:ind w:left="653"/>
              <w:rPr>
                <w:rFonts w:ascii="楷体" w:hAnsi="楷体" w:eastAsia="楷体" w:cs="楷体"/>
                <w:sz w:val="21"/>
                <w:szCs w:val="21"/>
              </w:rPr>
            </w:pPr>
            <w:r>
              <w:rPr>
                <w:rFonts w:ascii="楷体" w:hAnsi="楷体" w:eastAsia="楷体" w:cs="楷体"/>
                <w:position w:val="1"/>
                <w:sz w:val="21"/>
                <w:szCs w:val="21"/>
              </w:rPr>
              <w:t>4</w:t>
            </w:r>
          </w:p>
        </w:tc>
        <w:tc>
          <w:tcPr>
            <w:tcW w:w="1353" w:type="dxa"/>
            <w:vAlign w:val="top"/>
          </w:tcPr>
          <w:p w14:paraId="7661C4FD">
            <w:pPr>
              <w:spacing w:before="306" w:line="238" w:lineRule="auto"/>
              <w:ind w:left="656"/>
              <w:rPr>
                <w:rFonts w:ascii="楷体" w:hAnsi="楷体" w:eastAsia="楷体" w:cs="楷体"/>
                <w:sz w:val="21"/>
                <w:szCs w:val="21"/>
              </w:rPr>
            </w:pPr>
            <w:r>
              <w:rPr>
                <w:rFonts w:ascii="楷体" w:hAnsi="楷体" w:eastAsia="楷体" w:cs="楷体"/>
                <w:sz w:val="21"/>
                <w:szCs w:val="21"/>
              </w:rPr>
              <w:t>0</w:t>
            </w:r>
          </w:p>
        </w:tc>
        <w:tc>
          <w:tcPr>
            <w:tcW w:w="888" w:type="dxa"/>
            <w:vAlign w:val="top"/>
          </w:tcPr>
          <w:p w14:paraId="095C7CD1">
            <w:pPr>
              <w:spacing w:before="307" w:line="219" w:lineRule="auto"/>
              <w:ind w:left="162"/>
              <w:rPr>
                <w:rFonts w:ascii="楷体" w:hAnsi="楷体" w:eastAsia="楷体" w:cs="楷体"/>
                <w:sz w:val="21"/>
                <w:szCs w:val="21"/>
              </w:rPr>
            </w:pPr>
            <w:r>
              <w:rPr>
                <w:rFonts w:ascii="楷体" w:hAnsi="楷体" w:eastAsia="楷体" w:cs="楷体"/>
                <w:spacing w:val="-9"/>
                <w:sz w:val="21"/>
                <w:szCs w:val="21"/>
              </w:rPr>
              <w:t>国家级</w:t>
            </w:r>
          </w:p>
        </w:tc>
      </w:tr>
      <w:tr w14:paraId="48E5A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638" w:type="dxa"/>
            <w:vAlign w:val="top"/>
          </w:tcPr>
          <w:p w14:paraId="73E59F96">
            <w:pPr>
              <w:rPr>
                <w:rFonts w:ascii="Arial"/>
                <w:sz w:val="21"/>
              </w:rPr>
            </w:pPr>
          </w:p>
        </w:tc>
        <w:tc>
          <w:tcPr>
            <w:tcW w:w="787" w:type="dxa"/>
            <w:vAlign w:val="top"/>
          </w:tcPr>
          <w:p w14:paraId="0F858681">
            <w:pPr>
              <w:rPr>
                <w:rFonts w:ascii="Arial"/>
                <w:sz w:val="21"/>
              </w:rPr>
            </w:pPr>
          </w:p>
        </w:tc>
        <w:tc>
          <w:tcPr>
            <w:tcW w:w="1338" w:type="dxa"/>
            <w:vAlign w:val="top"/>
          </w:tcPr>
          <w:p w14:paraId="32616158">
            <w:pPr>
              <w:rPr>
                <w:rFonts w:ascii="Arial"/>
                <w:sz w:val="21"/>
              </w:rPr>
            </w:pPr>
          </w:p>
        </w:tc>
        <w:tc>
          <w:tcPr>
            <w:tcW w:w="1070" w:type="dxa"/>
            <w:vAlign w:val="top"/>
          </w:tcPr>
          <w:p w14:paraId="430CCA46">
            <w:pPr>
              <w:rPr>
                <w:rFonts w:ascii="Arial"/>
                <w:sz w:val="21"/>
              </w:rPr>
            </w:pPr>
          </w:p>
        </w:tc>
        <w:tc>
          <w:tcPr>
            <w:tcW w:w="940" w:type="dxa"/>
            <w:vAlign w:val="top"/>
          </w:tcPr>
          <w:p w14:paraId="60F4C80E">
            <w:pPr>
              <w:rPr>
                <w:rFonts w:ascii="Arial"/>
                <w:sz w:val="21"/>
              </w:rPr>
            </w:pPr>
          </w:p>
        </w:tc>
        <w:tc>
          <w:tcPr>
            <w:tcW w:w="4994" w:type="dxa"/>
            <w:vAlign w:val="top"/>
          </w:tcPr>
          <w:p w14:paraId="3E0CC665">
            <w:pPr>
              <w:rPr>
                <w:rFonts w:ascii="Arial"/>
                <w:sz w:val="21"/>
              </w:rPr>
            </w:pPr>
          </w:p>
        </w:tc>
        <w:tc>
          <w:tcPr>
            <w:tcW w:w="1026" w:type="dxa"/>
            <w:vAlign w:val="top"/>
          </w:tcPr>
          <w:p w14:paraId="0ED1B195">
            <w:pPr>
              <w:rPr>
                <w:rFonts w:ascii="Arial"/>
                <w:sz w:val="21"/>
              </w:rPr>
            </w:pPr>
          </w:p>
        </w:tc>
        <w:tc>
          <w:tcPr>
            <w:tcW w:w="1362" w:type="dxa"/>
            <w:vAlign w:val="top"/>
          </w:tcPr>
          <w:p w14:paraId="0A8D58CF">
            <w:pPr>
              <w:rPr>
                <w:rFonts w:ascii="Arial"/>
                <w:sz w:val="21"/>
              </w:rPr>
            </w:pPr>
          </w:p>
        </w:tc>
        <w:tc>
          <w:tcPr>
            <w:tcW w:w="1353" w:type="dxa"/>
            <w:vAlign w:val="top"/>
          </w:tcPr>
          <w:p w14:paraId="3B78189A">
            <w:pPr>
              <w:rPr>
                <w:rFonts w:ascii="Arial"/>
                <w:sz w:val="21"/>
              </w:rPr>
            </w:pPr>
          </w:p>
        </w:tc>
        <w:tc>
          <w:tcPr>
            <w:tcW w:w="888" w:type="dxa"/>
            <w:vAlign w:val="top"/>
          </w:tcPr>
          <w:p w14:paraId="6FAAAA96">
            <w:pPr>
              <w:rPr>
                <w:rFonts w:ascii="Arial"/>
                <w:sz w:val="21"/>
              </w:rPr>
            </w:pPr>
          </w:p>
        </w:tc>
      </w:tr>
    </w:tbl>
    <w:p w14:paraId="310F9038">
      <w:pPr>
        <w:pStyle w:val="2"/>
      </w:pPr>
    </w:p>
    <w:p w14:paraId="0F26825E">
      <w:pPr>
        <w:sectPr>
          <w:footerReference r:id="rId54" w:type="default"/>
          <w:pgSz w:w="16835" w:h="11904"/>
          <w:pgMar w:top="1011" w:right="1329" w:bottom="1287" w:left="1103" w:header="0" w:footer="920" w:gutter="0"/>
          <w:cols w:space="720" w:num="1"/>
        </w:sectPr>
      </w:pPr>
    </w:p>
    <w:p w14:paraId="157E6784">
      <w:pPr>
        <w:pStyle w:val="2"/>
        <w:spacing w:line="269" w:lineRule="auto"/>
      </w:pPr>
    </w:p>
    <w:p w14:paraId="4862B6DB">
      <w:pPr>
        <w:pStyle w:val="2"/>
        <w:spacing w:line="269" w:lineRule="auto"/>
      </w:pPr>
    </w:p>
    <w:p w14:paraId="46773A77">
      <w:pPr>
        <w:pStyle w:val="2"/>
        <w:spacing w:line="269" w:lineRule="auto"/>
      </w:pPr>
    </w:p>
    <w:p w14:paraId="259BB020">
      <w:pPr>
        <w:pStyle w:val="2"/>
        <w:spacing w:before="101" w:line="226" w:lineRule="auto"/>
        <w:ind w:left="783"/>
        <w:outlineLvl w:val="0"/>
        <w:rPr>
          <w:rFonts w:ascii="黑体" w:hAnsi="黑体" w:eastAsia="黑体" w:cs="黑体"/>
          <w:sz w:val="31"/>
          <w:szCs w:val="31"/>
        </w:rPr>
      </w:pPr>
      <w:r>
        <w:rPr>
          <w:rFonts w:ascii="黑体" w:hAnsi="黑体" w:eastAsia="黑体" w:cs="黑体"/>
          <w:spacing w:val="4"/>
          <w:sz w:val="31"/>
          <w:szCs w:val="31"/>
        </w:rPr>
        <w:t>附表</w:t>
      </w:r>
      <w:r>
        <w:rPr>
          <w:rFonts w:ascii="黑体" w:hAnsi="黑体" w:eastAsia="黑体" w:cs="黑体"/>
          <w:spacing w:val="-41"/>
          <w:sz w:val="31"/>
          <w:szCs w:val="31"/>
        </w:rPr>
        <w:t xml:space="preserve"> </w:t>
      </w:r>
      <w:r>
        <w:rPr>
          <w:spacing w:val="4"/>
          <w:sz w:val="31"/>
          <w:szCs w:val="31"/>
        </w:rPr>
        <w:t>5</w:t>
      </w:r>
      <w:r>
        <w:rPr>
          <w:spacing w:val="1"/>
          <w:sz w:val="31"/>
          <w:szCs w:val="31"/>
        </w:rPr>
        <w:t xml:space="preserve">    </w:t>
      </w:r>
      <w:r>
        <w:rPr>
          <w:rFonts w:ascii="黑体" w:hAnsi="黑体" w:eastAsia="黑体" w:cs="黑体"/>
          <w:spacing w:val="4"/>
          <w:sz w:val="31"/>
          <w:szCs w:val="31"/>
        </w:rPr>
        <w:t>阿坝州勘查规划区块表</w:t>
      </w:r>
    </w:p>
    <w:p w14:paraId="332DAB52">
      <w:pPr>
        <w:spacing w:line="119" w:lineRule="exact"/>
      </w:pPr>
    </w:p>
    <w:tbl>
      <w:tblPr>
        <w:tblStyle w:val="5"/>
        <w:tblW w:w="14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6"/>
        <w:gridCol w:w="859"/>
        <w:gridCol w:w="1847"/>
        <w:gridCol w:w="983"/>
        <w:gridCol w:w="1127"/>
        <w:gridCol w:w="4543"/>
        <w:gridCol w:w="1118"/>
        <w:gridCol w:w="1497"/>
        <w:gridCol w:w="734"/>
        <w:gridCol w:w="911"/>
      </w:tblGrid>
      <w:tr w14:paraId="50EEA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56" w:type="dxa"/>
            <w:textDirection w:val="tbRlV"/>
            <w:vAlign w:val="top"/>
          </w:tcPr>
          <w:p w14:paraId="1292BDC0">
            <w:pPr>
              <w:spacing w:before="152" w:line="181" w:lineRule="auto"/>
              <w:ind w:left="6"/>
              <w:rPr>
                <w:rFonts w:ascii="微软雅黑" w:hAnsi="微软雅黑" w:eastAsia="微软雅黑" w:cs="微软雅黑"/>
                <w:sz w:val="23"/>
                <w:szCs w:val="23"/>
              </w:rPr>
            </w:pPr>
            <w:r>
              <w:rPr>
                <w:rFonts w:ascii="微软雅黑" w:hAnsi="微软雅黑" w:eastAsia="微软雅黑" w:cs="微软雅黑"/>
                <w:spacing w:val="25"/>
                <w:sz w:val="23"/>
                <w:szCs w:val="23"/>
              </w:rPr>
              <w:t>序号</w:t>
            </w:r>
          </w:p>
        </w:tc>
        <w:tc>
          <w:tcPr>
            <w:tcW w:w="859" w:type="dxa"/>
            <w:vAlign w:val="top"/>
          </w:tcPr>
          <w:p w14:paraId="300C6509">
            <w:pPr>
              <w:spacing w:before="146" w:line="236" w:lineRule="exact"/>
              <w:ind w:left="203"/>
              <w:rPr>
                <w:rFonts w:ascii="微软雅黑" w:hAnsi="微软雅黑" w:eastAsia="微软雅黑" w:cs="微软雅黑"/>
                <w:sz w:val="23"/>
                <w:szCs w:val="23"/>
              </w:rPr>
            </w:pPr>
            <w:r>
              <w:rPr>
                <w:rFonts w:ascii="微软雅黑" w:hAnsi="微软雅黑" w:eastAsia="微软雅黑" w:cs="微软雅黑"/>
                <w:spacing w:val="4"/>
                <w:position w:val="-1"/>
                <w:sz w:val="23"/>
                <w:szCs w:val="23"/>
              </w:rPr>
              <w:t>编号</w:t>
            </w:r>
          </w:p>
        </w:tc>
        <w:tc>
          <w:tcPr>
            <w:tcW w:w="1847" w:type="dxa"/>
            <w:vAlign w:val="top"/>
          </w:tcPr>
          <w:p w14:paraId="38321A69">
            <w:pPr>
              <w:spacing w:before="145" w:line="236" w:lineRule="exact"/>
              <w:ind w:left="469"/>
              <w:rPr>
                <w:rFonts w:ascii="微软雅黑" w:hAnsi="微软雅黑" w:eastAsia="微软雅黑" w:cs="微软雅黑"/>
                <w:sz w:val="23"/>
                <w:szCs w:val="23"/>
              </w:rPr>
            </w:pPr>
            <w:r>
              <w:rPr>
                <w:rFonts w:ascii="微软雅黑" w:hAnsi="微软雅黑" w:eastAsia="微软雅黑" w:cs="微软雅黑"/>
                <w:spacing w:val="4"/>
                <w:position w:val="-1"/>
                <w:sz w:val="23"/>
                <w:szCs w:val="23"/>
              </w:rPr>
              <w:t>区块名称</w:t>
            </w:r>
          </w:p>
        </w:tc>
        <w:tc>
          <w:tcPr>
            <w:tcW w:w="983" w:type="dxa"/>
            <w:vAlign w:val="top"/>
          </w:tcPr>
          <w:p w14:paraId="7A12B129">
            <w:pPr>
              <w:spacing w:before="7" w:line="158" w:lineRule="auto"/>
              <w:ind w:left="258" w:right="125" w:hanging="115"/>
              <w:rPr>
                <w:rFonts w:ascii="微软雅黑" w:hAnsi="微软雅黑" w:eastAsia="微软雅黑" w:cs="微软雅黑"/>
                <w:sz w:val="23"/>
                <w:szCs w:val="23"/>
              </w:rPr>
            </w:pPr>
            <w:r>
              <w:rPr>
                <w:rFonts w:ascii="微软雅黑" w:hAnsi="微软雅黑" w:eastAsia="微软雅黑" w:cs="微软雅黑"/>
                <w:spacing w:val="6"/>
                <w:sz w:val="23"/>
                <w:szCs w:val="23"/>
              </w:rPr>
              <w:t>勘查主</w:t>
            </w:r>
            <w:r>
              <w:rPr>
                <w:rFonts w:ascii="微软雅黑" w:hAnsi="微软雅黑" w:eastAsia="微软雅黑" w:cs="微软雅黑"/>
                <w:spacing w:val="5"/>
                <w:sz w:val="23"/>
                <w:szCs w:val="23"/>
              </w:rPr>
              <w:t>矿种</w:t>
            </w:r>
          </w:p>
        </w:tc>
        <w:tc>
          <w:tcPr>
            <w:tcW w:w="1127" w:type="dxa"/>
            <w:vAlign w:val="top"/>
          </w:tcPr>
          <w:p w14:paraId="29191A53">
            <w:pPr>
              <w:spacing w:before="13" w:line="229" w:lineRule="exact"/>
              <w:ind w:left="166"/>
              <w:rPr>
                <w:rFonts w:ascii="微软雅黑" w:hAnsi="微软雅黑" w:eastAsia="微软雅黑" w:cs="微软雅黑"/>
                <w:sz w:val="22"/>
                <w:szCs w:val="22"/>
              </w:rPr>
            </w:pPr>
            <w:r>
              <w:rPr>
                <w:rFonts w:ascii="微软雅黑" w:hAnsi="微软雅黑" w:eastAsia="微软雅黑" w:cs="微软雅黑"/>
                <w:spacing w:val="20"/>
                <w:sz w:val="22"/>
                <w:szCs w:val="22"/>
              </w:rPr>
              <w:t>面积(平</w:t>
            </w:r>
          </w:p>
          <w:p w14:paraId="6DF48339">
            <w:pPr>
              <w:spacing w:before="42" w:line="238" w:lineRule="exact"/>
              <w:ind w:left="159"/>
              <w:rPr>
                <w:rFonts w:ascii="微软雅黑" w:hAnsi="微软雅黑" w:eastAsia="微软雅黑" w:cs="微软雅黑"/>
                <w:sz w:val="23"/>
                <w:szCs w:val="23"/>
              </w:rPr>
            </w:pPr>
            <w:r>
              <w:rPr>
                <w:rFonts w:ascii="微软雅黑" w:hAnsi="微软雅黑" w:eastAsia="微软雅黑" w:cs="微软雅黑"/>
                <w:spacing w:val="3"/>
                <w:sz w:val="23"/>
                <w:szCs w:val="23"/>
              </w:rPr>
              <w:t>方千米)</w:t>
            </w:r>
          </w:p>
        </w:tc>
        <w:tc>
          <w:tcPr>
            <w:tcW w:w="4543" w:type="dxa"/>
            <w:vAlign w:val="top"/>
          </w:tcPr>
          <w:p w14:paraId="543692EC">
            <w:pPr>
              <w:spacing w:before="150" w:line="230" w:lineRule="exact"/>
              <w:ind w:left="1806"/>
              <w:rPr>
                <w:rFonts w:ascii="微软雅黑" w:hAnsi="微软雅黑" w:eastAsia="微软雅黑" w:cs="微软雅黑"/>
                <w:sz w:val="23"/>
                <w:szCs w:val="23"/>
              </w:rPr>
            </w:pPr>
            <w:r>
              <w:rPr>
                <w:rFonts w:ascii="微软雅黑" w:hAnsi="微软雅黑" w:eastAsia="微软雅黑" w:cs="微软雅黑"/>
                <w:spacing w:val="8"/>
                <w:position w:val="-1"/>
                <w:sz w:val="23"/>
                <w:szCs w:val="23"/>
              </w:rPr>
              <w:t>拐点坐标</w:t>
            </w:r>
          </w:p>
        </w:tc>
        <w:tc>
          <w:tcPr>
            <w:tcW w:w="1118" w:type="dxa"/>
            <w:vAlign w:val="top"/>
          </w:tcPr>
          <w:p w14:paraId="11688CC7">
            <w:pPr>
              <w:spacing w:before="8" w:line="234" w:lineRule="exact"/>
              <w:ind w:left="212"/>
              <w:rPr>
                <w:rFonts w:ascii="微软雅黑" w:hAnsi="微软雅黑" w:eastAsia="微软雅黑" w:cs="微软雅黑"/>
                <w:sz w:val="23"/>
                <w:szCs w:val="23"/>
              </w:rPr>
            </w:pPr>
            <w:r>
              <w:rPr>
                <w:rFonts w:ascii="微软雅黑" w:hAnsi="微软雅黑" w:eastAsia="微软雅黑" w:cs="微软雅黑"/>
                <w:spacing w:val="7"/>
                <w:position w:val="-1"/>
                <w:sz w:val="23"/>
                <w:szCs w:val="23"/>
              </w:rPr>
              <w:t>现有勘</w:t>
            </w:r>
          </w:p>
          <w:p w14:paraId="7A75E00B">
            <w:pPr>
              <w:spacing w:before="42" w:line="235" w:lineRule="exact"/>
              <w:ind w:left="211"/>
              <w:rPr>
                <w:rFonts w:ascii="微软雅黑" w:hAnsi="微软雅黑" w:eastAsia="微软雅黑" w:cs="微软雅黑"/>
                <w:sz w:val="23"/>
                <w:szCs w:val="23"/>
              </w:rPr>
            </w:pPr>
            <w:r>
              <w:rPr>
                <w:rFonts w:ascii="微软雅黑" w:hAnsi="微软雅黑" w:eastAsia="微软雅黑" w:cs="微软雅黑"/>
                <w:spacing w:val="9"/>
                <w:position w:val="-1"/>
                <w:sz w:val="23"/>
                <w:szCs w:val="23"/>
              </w:rPr>
              <w:t>查程度</w:t>
            </w:r>
          </w:p>
        </w:tc>
        <w:tc>
          <w:tcPr>
            <w:tcW w:w="1497" w:type="dxa"/>
            <w:vAlign w:val="top"/>
          </w:tcPr>
          <w:p w14:paraId="15523785">
            <w:pPr>
              <w:spacing w:before="6" w:line="274" w:lineRule="exact"/>
              <w:ind w:left="286" w:right="132" w:hanging="122"/>
              <w:rPr>
                <w:rFonts w:ascii="微软雅黑" w:hAnsi="微软雅黑" w:eastAsia="微软雅黑" w:cs="微软雅黑"/>
                <w:sz w:val="23"/>
                <w:szCs w:val="23"/>
              </w:rPr>
            </w:pPr>
            <w:r>
              <w:rPr>
                <w:rFonts w:ascii="微软雅黑" w:hAnsi="微软雅黑" w:eastAsia="微软雅黑" w:cs="微软雅黑"/>
                <w:spacing w:val="9"/>
                <w:position w:val="1"/>
                <w:sz w:val="23"/>
                <w:szCs w:val="23"/>
              </w:rPr>
              <w:t>拟设探矿权</w:t>
            </w:r>
            <w:r>
              <w:rPr>
                <w:rFonts w:ascii="微软雅黑" w:hAnsi="微软雅黑" w:eastAsia="微软雅黑" w:cs="微软雅黑"/>
                <w:spacing w:val="8"/>
                <w:position w:val="1"/>
                <w:sz w:val="23"/>
                <w:szCs w:val="23"/>
              </w:rPr>
              <w:t>勘查阶段</w:t>
            </w:r>
          </w:p>
        </w:tc>
        <w:tc>
          <w:tcPr>
            <w:tcW w:w="734" w:type="dxa"/>
            <w:vAlign w:val="top"/>
          </w:tcPr>
          <w:p w14:paraId="5F18AC4F">
            <w:pPr>
              <w:spacing w:before="5" w:line="237" w:lineRule="exact"/>
              <w:ind w:left="138"/>
              <w:rPr>
                <w:rFonts w:ascii="微软雅黑" w:hAnsi="微软雅黑" w:eastAsia="微软雅黑" w:cs="微软雅黑"/>
                <w:sz w:val="23"/>
                <w:szCs w:val="23"/>
              </w:rPr>
            </w:pPr>
            <w:r>
              <w:rPr>
                <w:rFonts w:ascii="微软雅黑" w:hAnsi="微软雅黑" w:eastAsia="微软雅黑" w:cs="微软雅黑"/>
                <w:spacing w:val="9"/>
                <w:position w:val="-1"/>
                <w:sz w:val="23"/>
                <w:szCs w:val="23"/>
              </w:rPr>
              <w:t>投放</w:t>
            </w:r>
          </w:p>
          <w:p w14:paraId="21DD619F">
            <w:pPr>
              <w:spacing w:before="43" w:line="230" w:lineRule="exact"/>
              <w:ind w:left="151"/>
              <w:rPr>
                <w:rFonts w:ascii="微软雅黑" w:hAnsi="微软雅黑" w:eastAsia="微软雅黑" w:cs="微软雅黑"/>
                <w:sz w:val="23"/>
                <w:szCs w:val="23"/>
              </w:rPr>
            </w:pPr>
            <w:r>
              <w:rPr>
                <w:rFonts w:ascii="微软雅黑" w:hAnsi="微软雅黑" w:eastAsia="微软雅黑" w:cs="微软雅黑"/>
                <w:spacing w:val="-1"/>
                <w:position w:val="-1"/>
                <w:sz w:val="23"/>
                <w:szCs w:val="23"/>
              </w:rPr>
              <w:t>时序</w:t>
            </w:r>
          </w:p>
        </w:tc>
        <w:tc>
          <w:tcPr>
            <w:tcW w:w="911" w:type="dxa"/>
            <w:vAlign w:val="top"/>
          </w:tcPr>
          <w:p w14:paraId="5F73C735">
            <w:pPr>
              <w:spacing w:before="144" w:line="239" w:lineRule="exact"/>
              <w:ind w:left="224"/>
              <w:rPr>
                <w:rFonts w:ascii="微软雅黑" w:hAnsi="微软雅黑" w:eastAsia="微软雅黑" w:cs="微软雅黑"/>
                <w:sz w:val="23"/>
                <w:szCs w:val="23"/>
              </w:rPr>
            </w:pPr>
            <w:r>
              <w:rPr>
                <w:rFonts w:ascii="微软雅黑" w:hAnsi="微软雅黑" w:eastAsia="微软雅黑" w:cs="微软雅黑"/>
                <w:spacing w:val="6"/>
                <w:position w:val="-1"/>
                <w:sz w:val="23"/>
                <w:szCs w:val="23"/>
              </w:rPr>
              <w:t>备注</w:t>
            </w:r>
          </w:p>
        </w:tc>
      </w:tr>
      <w:tr w14:paraId="7E273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trPr>
        <w:tc>
          <w:tcPr>
            <w:tcW w:w="556" w:type="dxa"/>
            <w:vAlign w:val="top"/>
          </w:tcPr>
          <w:p w14:paraId="6E4E1901">
            <w:pPr>
              <w:spacing w:line="292" w:lineRule="auto"/>
              <w:rPr>
                <w:rFonts w:ascii="Arial"/>
                <w:sz w:val="21"/>
              </w:rPr>
            </w:pPr>
          </w:p>
          <w:p w14:paraId="18A33631">
            <w:pPr>
              <w:spacing w:before="59" w:line="238" w:lineRule="exact"/>
              <w:ind w:left="258"/>
              <w:rPr>
                <w:rFonts w:ascii="楷体" w:hAnsi="楷体" w:eastAsia="楷体" w:cs="楷体"/>
                <w:sz w:val="18"/>
                <w:szCs w:val="18"/>
              </w:rPr>
            </w:pPr>
            <w:r>
              <w:rPr>
                <w:rFonts w:ascii="楷体" w:hAnsi="楷体" w:eastAsia="楷体" w:cs="楷体"/>
                <w:position w:val="1"/>
                <w:sz w:val="18"/>
                <w:szCs w:val="18"/>
              </w:rPr>
              <w:t>1</w:t>
            </w:r>
          </w:p>
        </w:tc>
        <w:tc>
          <w:tcPr>
            <w:tcW w:w="859" w:type="dxa"/>
            <w:vAlign w:val="top"/>
          </w:tcPr>
          <w:p w14:paraId="4089296B">
            <w:pPr>
              <w:spacing w:before="214" w:line="234" w:lineRule="auto"/>
              <w:ind w:left="127"/>
              <w:rPr>
                <w:rFonts w:ascii="楷体" w:hAnsi="楷体" w:eastAsia="楷体" w:cs="楷体"/>
                <w:sz w:val="18"/>
                <w:szCs w:val="18"/>
              </w:rPr>
            </w:pPr>
            <w:r>
              <w:rPr>
                <w:rFonts w:ascii="楷体" w:hAnsi="楷体" w:eastAsia="楷体" w:cs="楷体"/>
                <w:spacing w:val="-1"/>
                <w:sz w:val="18"/>
                <w:szCs w:val="18"/>
              </w:rPr>
              <w:t>KQ51320</w:t>
            </w:r>
          </w:p>
          <w:p w14:paraId="58A7C119">
            <w:pPr>
              <w:spacing w:before="55" w:line="239" w:lineRule="auto"/>
              <w:ind w:left="183"/>
              <w:rPr>
                <w:rFonts w:ascii="楷体" w:hAnsi="楷体" w:eastAsia="楷体" w:cs="楷体"/>
                <w:sz w:val="18"/>
                <w:szCs w:val="18"/>
              </w:rPr>
            </w:pPr>
            <w:r>
              <w:rPr>
                <w:rFonts w:ascii="楷体" w:hAnsi="楷体" w:eastAsia="楷体" w:cs="楷体"/>
                <w:spacing w:val="-3"/>
                <w:sz w:val="18"/>
                <w:szCs w:val="18"/>
              </w:rPr>
              <w:t>000002</w:t>
            </w:r>
          </w:p>
        </w:tc>
        <w:tc>
          <w:tcPr>
            <w:tcW w:w="1847" w:type="dxa"/>
            <w:vAlign w:val="top"/>
          </w:tcPr>
          <w:p w14:paraId="4BB2B345">
            <w:pPr>
              <w:spacing w:before="213" w:line="292" w:lineRule="auto"/>
              <w:ind w:left="668" w:right="104" w:hanging="538"/>
              <w:rPr>
                <w:rFonts w:ascii="楷体" w:hAnsi="楷体" w:eastAsia="楷体" w:cs="楷体"/>
                <w:sz w:val="18"/>
                <w:szCs w:val="18"/>
              </w:rPr>
            </w:pPr>
            <w:r>
              <w:rPr>
                <w:rFonts w:ascii="楷体" w:hAnsi="楷体" w:eastAsia="楷体" w:cs="楷体"/>
                <w:spacing w:val="-2"/>
                <w:sz w:val="18"/>
                <w:szCs w:val="18"/>
              </w:rPr>
              <w:t>四川省理县龙胆沟地</w:t>
            </w:r>
            <w:r>
              <w:rPr>
                <w:rFonts w:ascii="楷体" w:hAnsi="楷体" w:eastAsia="楷体" w:cs="楷体"/>
                <w:spacing w:val="-4"/>
                <w:sz w:val="18"/>
                <w:szCs w:val="18"/>
              </w:rPr>
              <w:t>热普查</w:t>
            </w:r>
          </w:p>
        </w:tc>
        <w:tc>
          <w:tcPr>
            <w:tcW w:w="983" w:type="dxa"/>
            <w:vAlign w:val="top"/>
          </w:tcPr>
          <w:p w14:paraId="2CFFAF8D">
            <w:pPr>
              <w:spacing w:line="293" w:lineRule="auto"/>
              <w:rPr>
                <w:rFonts w:ascii="Arial"/>
                <w:sz w:val="21"/>
              </w:rPr>
            </w:pPr>
          </w:p>
          <w:p w14:paraId="1B969F5E">
            <w:pPr>
              <w:spacing w:before="58"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3B3E8355">
            <w:pPr>
              <w:spacing w:line="293" w:lineRule="auto"/>
              <w:rPr>
                <w:rFonts w:ascii="Arial"/>
                <w:sz w:val="21"/>
              </w:rPr>
            </w:pPr>
          </w:p>
          <w:p w14:paraId="1217372E">
            <w:pPr>
              <w:spacing w:before="58" w:line="241" w:lineRule="auto"/>
              <w:ind w:left="399"/>
              <w:rPr>
                <w:rFonts w:ascii="楷体" w:hAnsi="楷体" w:eastAsia="楷体" w:cs="楷体"/>
                <w:sz w:val="18"/>
                <w:szCs w:val="18"/>
              </w:rPr>
            </w:pPr>
            <w:r>
              <w:rPr>
                <w:rFonts w:ascii="楷体" w:hAnsi="楷体" w:eastAsia="楷体" w:cs="楷体"/>
                <w:spacing w:val="-3"/>
                <w:sz w:val="18"/>
                <w:szCs w:val="18"/>
              </w:rPr>
              <w:t>2.45</w:t>
            </w:r>
          </w:p>
        </w:tc>
        <w:tc>
          <w:tcPr>
            <w:tcW w:w="4543" w:type="dxa"/>
            <w:vAlign w:val="top"/>
          </w:tcPr>
          <w:p w14:paraId="42AEF6AC">
            <w:pPr>
              <w:rPr>
                <w:rFonts w:ascii="Arial"/>
                <w:sz w:val="21"/>
              </w:rPr>
            </w:pPr>
          </w:p>
        </w:tc>
        <w:tc>
          <w:tcPr>
            <w:tcW w:w="1118" w:type="dxa"/>
            <w:vAlign w:val="top"/>
          </w:tcPr>
          <w:p w14:paraId="0BD25B6A">
            <w:pPr>
              <w:spacing w:line="292" w:lineRule="auto"/>
              <w:rPr>
                <w:rFonts w:ascii="Arial"/>
                <w:sz w:val="21"/>
              </w:rPr>
            </w:pPr>
          </w:p>
          <w:p w14:paraId="68DA1FF7">
            <w:pPr>
              <w:spacing w:before="59" w:line="217" w:lineRule="auto"/>
              <w:ind w:left="209"/>
              <w:rPr>
                <w:rFonts w:ascii="楷体" w:hAnsi="楷体" w:eastAsia="楷体" w:cs="楷体"/>
                <w:sz w:val="18"/>
                <w:szCs w:val="18"/>
              </w:rPr>
            </w:pPr>
            <w:r>
              <w:rPr>
                <w:rFonts w:ascii="楷体" w:hAnsi="楷体" w:eastAsia="楷体" w:cs="楷体"/>
                <w:spacing w:val="-1"/>
                <w:sz w:val="18"/>
                <w:szCs w:val="18"/>
              </w:rPr>
              <w:t>调查评价</w:t>
            </w:r>
          </w:p>
        </w:tc>
        <w:tc>
          <w:tcPr>
            <w:tcW w:w="1497" w:type="dxa"/>
            <w:vAlign w:val="top"/>
          </w:tcPr>
          <w:p w14:paraId="57EB579D">
            <w:pPr>
              <w:spacing w:line="292" w:lineRule="auto"/>
              <w:rPr>
                <w:rFonts w:ascii="Arial"/>
                <w:sz w:val="21"/>
              </w:rPr>
            </w:pPr>
          </w:p>
          <w:p w14:paraId="3B4EE086">
            <w:pPr>
              <w:spacing w:before="58"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7209885D">
            <w:pPr>
              <w:spacing w:line="292" w:lineRule="auto"/>
              <w:rPr>
                <w:rFonts w:ascii="Arial"/>
                <w:sz w:val="21"/>
              </w:rPr>
            </w:pPr>
          </w:p>
          <w:p w14:paraId="1A649812">
            <w:pPr>
              <w:spacing w:before="59"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505CAD3D">
            <w:pPr>
              <w:spacing w:before="213" w:line="295" w:lineRule="auto"/>
              <w:ind w:left="202" w:right="171" w:hanging="3"/>
              <w:rPr>
                <w:rFonts w:ascii="楷体" w:hAnsi="楷体" w:eastAsia="楷体" w:cs="楷体"/>
                <w:sz w:val="18"/>
                <w:szCs w:val="18"/>
              </w:rPr>
            </w:pPr>
            <w:r>
              <w:rPr>
                <w:rFonts w:ascii="楷体" w:hAnsi="楷体" w:eastAsia="楷体" w:cs="楷体"/>
                <w:spacing w:val="-2"/>
                <w:sz w:val="18"/>
                <w:szCs w:val="18"/>
              </w:rPr>
              <w:t>理疗用</w:t>
            </w:r>
            <w:r>
              <w:rPr>
                <w:rFonts w:ascii="楷体" w:hAnsi="楷体" w:eastAsia="楷体" w:cs="楷体"/>
                <w:spacing w:val="-4"/>
                <w:sz w:val="18"/>
                <w:szCs w:val="18"/>
              </w:rPr>
              <w:t>热矿水</w:t>
            </w:r>
          </w:p>
        </w:tc>
      </w:tr>
      <w:tr w14:paraId="2E741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556" w:type="dxa"/>
            <w:vAlign w:val="top"/>
          </w:tcPr>
          <w:p w14:paraId="0BE5D164">
            <w:pPr>
              <w:spacing w:before="291" w:line="238" w:lineRule="exact"/>
              <w:ind w:left="253"/>
              <w:rPr>
                <w:rFonts w:ascii="楷体" w:hAnsi="楷体" w:eastAsia="楷体" w:cs="楷体"/>
                <w:sz w:val="18"/>
                <w:szCs w:val="18"/>
              </w:rPr>
            </w:pPr>
            <w:r>
              <w:rPr>
                <w:rFonts w:ascii="楷体" w:hAnsi="楷体" w:eastAsia="楷体" w:cs="楷体"/>
                <w:position w:val="1"/>
                <w:sz w:val="18"/>
                <w:szCs w:val="18"/>
              </w:rPr>
              <w:t>2</w:t>
            </w:r>
          </w:p>
        </w:tc>
        <w:tc>
          <w:tcPr>
            <w:tcW w:w="859" w:type="dxa"/>
            <w:vAlign w:val="top"/>
          </w:tcPr>
          <w:p w14:paraId="012F789F">
            <w:pPr>
              <w:spacing w:before="152" w:line="234" w:lineRule="auto"/>
              <w:ind w:left="127"/>
              <w:rPr>
                <w:rFonts w:ascii="楷体" w:hAnsi="楷体" w:eastAsia="楷体" w:cs="楷体"/>
                <w:sz w:val="18"/>
                <w:szCs w:val="18"/>
              </w:rPr>
            </w:pPr>
            <w:r>
              <w:rPr>
                <w:rFonts w:ascii="楷体" w:hAnsi="楷体" w:eastAsia="楷体" w:cs="楷体"/>
                <w:spacing w:val="-1"/>
                <w:sz w:val="18"/>
                <w:szCs w:val="18"/>
              </w:rPr>
              <w:t>KQ51320</w:t>
            </w:r>
          </w:p>
          <w:p w14:paraId="62E2C1EF">
            <w:pPr>
              <w:spacing w:before="55" w:line="239" w:lineRule="auto"/>
              <w:ind w:left="183"/>
              <w:rPr>
                <w:rFonts w:ascii="楷体" w:hAnsi="楷体" w:eastAsia="楷体" w:cs="楷体"/>
                <w:sz w:val="18"/>
                <w:szCs w:val="18"/>
              </w:rPr>
            </w:pPr>
            <w:r>
              <w:rPr>
                <w:rFonts w:ascii="楷体" w:hAnsi="楷体" w:eastAsia="楷体" w:cs="楷体"/>
                <w:spacing w:val="-3"/>
                <w:sz w:val="18"/>
                <w:szCs w:val="18"/>
              </w:rPr>
              <w:t>000003</w:t>
            </w:r>
          </w:p>
        </w:tc>
        <w:tc>
          <w:tcPr>
            <w:tcW w:w="1847" w:type="dxa"/>
            <w:vAlign w:val="top"/>
          </w:tcPr>
          <w:p w14:paraId="09F95BCE">
            <w:pPr>
              <w:spacing w:before="152" w:line="292" w:lineRule="auto"/>
              <w:ind w:left="308" w:right="104" w:hanging="178"/>
              <w:rPr>
                <w:rFonts w:ascii="楷体" w:hAnsi="楷体" w:eastAsia="楷体" w:cs="楷体"/>
                <w:sz w:val="18"/>
                <w:szCs w:val="18"/>
              </w:rPr>
            </w:pPr>
            <w:r>
              <w:rPr>
                <w:rFonts w:ascii="楷体" w:hAnsi="楷体" w:eastAsia="楷体" w:cs="楷体"/>
                <w:spacing w:val="-2"/>
                <w:sz w:val="18"/>
                <w:szCs w:val="18"/>
              </w:rPr>
              <w:t>四川省黑水县晴朗乡热水塘地热普查</w:t>
            </w:r>
          </w:p>
        </w:tc>
        <w:tc>
          <w:tcPr>
            <w:tcW w:w="983" w:type="dxa"/>
            <w:vAlign w:val="top"/>
          </w:tcPr>
          <w:p w14:paraId="51524A8D">
            <w:pPr>
              <w:spacing w:before="292"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4AB00058">
            <w:pPr>
              <w:spacing w:before="292" w:line="241" w:lineRule="auto"/>
              <w:ind w:left="401"/>
              <w:rPr>
                <w:rFonts w:ascii="楷体" w:hAnsi="楷体" w:eastAsia="楷体" w:cs="楷体"/>
                <w:sz w:val="18"/>
                <w:szCs w:val="18"/>
              </w:rPr>
            </w:pPr>
            <w:r>
              <w:rPr>
                <w:rFonts w:ascii="楷体" w:hAnsi="楷体" w:eastAsia="楷体" w:cs="楷体"/>
                <w:spacing w:val="-4"/>
                <w:sz w:val="18"/>
                <w:szCs w:val="18"/>
              </w:rPr>
              <w:t>6.28</w:t>
            </w:r>
          </w:p>
        </w:tc>
        <w:tc>
          <w:tcPr>
            <w:tcW w:w="4543" w:type="dxa"/>
            <w:vAlign w:val="top"/>
          </w:tcPr>
          <w:p w14:paraId="7115E6D7">
            <w:pPr>
              <w:rPr>
                <w:rFonts w:ascii="Arial"/>
                <w:sz w:val="21"/>
              </w:rPr>
            </w:pPr>
          </w:p>
        </w:tc>
        <w:tc>
          <w:tcPr>
            <w:tcW w:w="1118" w:type="dxa"/>
            <w:vAlign w:val="top"/>
          </w:tcPr>
          <w:p w14:paraId="4E8C6C2F">
            <w:pPr>
              <w:spacing w:before="291" w:line="217" w:lineRule="auto"/>
              <w:ind w:left="209"/>
              <w:rPr>
                <w:rFonts w:ascii="楷体" w:hAnsi="楷体" w:eastAsia="楷体" w:cs="楷体"/>
                <w:sz w:val="18"/>
                <w:szCs w:val="18"/>
              </w:rPr>
            </w:pPr>
            <w:r>
              <w:rPr>
                <w:rFonts w:ascii="楷体" w:hAnsi="楷体" w:eastAsia="楷体" w:cs="楷体"/>
                <w:spacing w:val="-1"/>
                <w:sz w:val="18"/>
                <w:szCs w:val="18"/>
              </w:rPr>
              <w:t>调查评价</w:t>
            </w:r>
          </w:p>
        </w:tc>
        <w:tc>
          <w:tcPr>
            <w:tcW w:w="1497" w:type="dxa"/>
            <w:vAlign w:val="top"/>
          </w:tcPr>
          <w:p w14:paraId="241F73BA">
            <w:pPr>
              <w:spacing w:before="291"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1ABC3E61">
            <w:pPr>
              <w:spacing w:before="292"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494A9E0A">
            <w:pPr>
              <w:spacing w:before="151" w:line="295" w:lineRule="auto"/>
              <w:ind w:left="202" w:right="171" w:hanging="3"/>
              <w:rPr>
                <w:rFonts w:ascii="楷体" w:hAnsi="楷体" w:eastAsia="楷体" w:cs="楷体"/>
                <w:sz w:val="18"/>
                <w:szCs w:val="18"/>
              </w:rPr>
            </w:pPr>
            <w:r>
              <w:rPr>
                <w:rFonts w:ascii="楷体" w:hAnsi="楷体" w:eastAsia="楷体" w:cs="楷体"/>
                <w:spacing w:val="-2"/>
                <w:sz w:val="18"/>
                <w:szCs w:val="18"/>
              </w:rPr>
              <w:t>理疗用</w:t>
            </w:r>
            <w:r>
              <w:rPr>
                <w:rFonts w:ascii="楷体" w:hAnsi="楷体" w:eastAsia="楷体" w:cs="楷体"/>
                <w:spacing w:val="-4"/>
                <w:sz w:val="18"/>
                <w:szCs w:val="18"/>
              </w:rPr>
              <w:t>热矿水</w:t>
            </w:r>
          </w:p>
        </w:tc>
      </w:tr>
      <w:tr w14:paraId="5C23A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556" w:type="dxa"/>
            <w:vAlign w:val="top"/>
          </w:tcPr>
          <w:p w14:paraId="52E43F1A">
            <w:pPr>
              <w:spacing w:before="273" w:line="242" w:lineRule="auto"/>
              <w:ind w:left="261"/>
              <w:rPr>
                <w:rFonts w:ascii="楷体" w:hAnsi="楷体" w:eastAsia="楷体" w:cs="楷体"/>
                <w:sz w:val="18"/>
                <w:szCs w:val="18"/>
              </w:rPr>
            </w:pPr>
            <w:r>
              <w:rPr>
                <w:rFonts w:ascii="楷体" w:hAnsi="楷体" w:eastAsia="楷体" w:cs="楷体"/>
                <w:sz w:val="18"/>
                <w:szCs w:val="18"/>
              </w:rPr>
              <w:t>3</w:t>
            </w:r>
          </w:p>
        </w:tc>
        <w:tc>
          <w:tcPr>
            <w:tcW w:w="859" w:type="dxa"/>
            <w:vAlign w:val="top"/>
          </w:tcPr>
          <w:p w14:paraId="4F812DE9">
            <w:pPr>
              <w:spacing w:before="134" w:line="234" w:lineRule="auto"/>
              <w:ind w:left="127"/>
              <w:rPr>
                <w:rFonts w:ascii="楷体" w:hAnsi="楷体" w:eastAsia="楷体" w:cs="楷体"/>
                <w:sz w:val="18"/>
                <w:szCs w:val="18"/>
              </w:rPr>
            </w:pPr>
            <w:r>
              <w:rPr>
                <w:rFonts w:ascii="楷体" w:hAnsi="楷体" w:eastAsia="楷体" w:cs="楷体"/>
                <w:spacing w:val="-1"/>
                <w:sz w:val="18"/>
                <w:szCs w:val="18"/>
              </w:rPr>
              <w:t>KQ51320</w:t>
            </w:r>
          </w:p>
          <w:p w14:paraId="008E1860">
            <w:pPr>
              <w:spacing w:before="50" w:line="239" w:lineRule="auto"/>
              <w:ind w:left="183"/>
              <w:rPr>
                <w:rFonts w:ascii="楷体" w:hAnsi="楷体" w:eastAsia="楷体" w:cs="楷体"/>
                <w:sz w:val="18"/>
                <w:szCs w:val="18"/>
              </w:rPr>
            </w:pPr>
            <w:r>
              <w:rPr>
                <w:rFonts w:ascii="楷体" w:hAnsi="楷体" w:eastAsia="楷体" w:cs="楷体"/>
                <w:spacing w:val="-3"/>
                <w:sz w:val="18"/>
                <w:szCs w:val="18"/>
              </w:rPr>
              <w:t>000004</w:t>
            </w:r>
          </w:p>
        </w:tc>
        <w:tc>
          <w:tcPr>
            <w:tcW w:w="1847" w:type="dxa"/>
            <w:vAlign w:val="top"/>
          </w:tcPr>
          <w:p w14:paraId="0796F877">
            <w:pPr>
              <w:spacing w:before="133" w:line="287" w:lineRule="auto"/>
              <w:ind w:left="752" w:right="104" w:hanging="629"/>
              <w:rPr>
                <w:rFonts w:ascii="楷体" w:hAnsi="楷体" w:eastAsia="楷体" w:cs="楷体"/>
                <w:sz w:val="18"/>
                <w:szCs w:val="18"/>
              </w:rPr>
            </w:pPr>
            <w:r>
              <w:rPr>
                <w:rFonts w:ascii="楷体" w:hAnsi="楷体" w:eastAsia="楷体" w:cs="楷体"/>
                <w:spacing w:val="-1"/>
                <w:sz w:val="18"/>
                <w:szCs w:val="18"/>
              </w:rPr>
              <w:t>九寨沟县南坪镇地热普查</w:t>
            </w:r>
          </w:p>
        </w:tc>
        <w:tc>
          <w:tcPr>
            <w:tcW w:w="983" w:type="dxa"/>
            <w:vAlign w:val="top"/>
          </w:tcPr>
          <w:p w14:paraId="6D0EEE8C">
            <w:pPr>
              <w:spacing w:before="273"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3C423824">
            <w:pPr>
              <w:spacing w:before="273" w:line="242" w:lineRule="auto"/>
              <w:ind w:left="399"/>
              <w:rPr>
                <w:rFonts w:ascii="楷体" w:hAnsi="楷体" w:eastAsia="楷体" w:cs="楷体"/>
                <w:sz w:val="18"/>
                <w:szCs w:val="18"/>
              </w:rPr>
            </w:pPr>
            <w:r>
              <w:rPr>
                <w:rFonts w:ascii="楷体" w:hAnsi="楷体" w:eastAsia="楷体" w:cs="楷体"/>
                <w:spacing w:val="-3"/>
                <w:sz w:val="18"/>
                <w:szCs w:val="18"/>
              </w:rPr>
              <w:t>2.73</w:t>
            </w:r>
          </w:p>
        </w:tc>
        <w:tc>
          <w:tcPr>
            <w:tcW w:w="4543" w:type="dxa"/>
            <w:vAlign w:val="top"/>
          </w:tcPr>
          <w:p w14:paraId="235BA68F">
            <w:pPr>
              <w:rPr>
                <w:rFonts w:ascii="Arial"/>
                <w:sz w:val="21"/>
              </w:rPr>
            </w:pPr>
          </w:p>
        </w:tc>
        <w:tc>
          <w:tcPr>
            <w:tcW w:w="1118" w:type="dxa"/>
            <w:vAlign w:val="top"/>
          </w:tcPr>
          <w:p w14:paraId="4AEFE54E">
            <w:pPr>
              <w:spacing w:before="272" w:line="220" w:lineRule="auto"/>
              <w:ind w:left="386"/>
              <w:rPr>
                <w:rFonts w:ascii="楷体" w:hAnsi="楷体" w:eastAsia="楷体" w:cs="楷体"/>
                <w:sz w:val="18"/>
                <w:szCs w:val="18"/>
              </w:rPr>
            </w:pPr>
            <w:r>
              <w:rPr>
                <w:rFonts w:ascii="楷体" w:hAnsi="楷体" w:eastAsia="楷体" w:cs="楷体"/>
                <w:sz w:val="18"/>
                <w:szCs w:val="18"/>
              </w:rPr>
              <w:t>普查</w:t>
            </w:r>
          </w:p>
        </w:tc>
        <w:tc>
          <w:tcPr>
            <w:tcW w:w="1497" w:type="dxa"/>
            <w:vAlign w:val="top"/>
          </w:tcPr>
          <w:p w14:paraId="2036498F">
            <w:pPr>
              <w:spacing w:before="272"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5F54C9CD">
            <w:pPr>
              <w:spacing w:before="273"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54203148">
            <w:pPr>
              <w:spacing w:before="134" w:line="287" w:lineRule="auto"/>
              <w:ind w:left="202" w:right="171" w:hanging="3"/>
              <w:rPr>
                <w:rFonts w:ascii="楷体" w:hAnsi="楷体" w:eastAsia="楷体" w:cs="楷体"/>
                <w:sz w:val="18"/>
                <w:szCs w:val="18"/>
              </w:rPr>
            </w:pPr>
            <w:r>
              <w:rPr>
                <w:rFonts w:ascii="楷体" w:hAnsi="楷体" w:eastAsia="楷体" w:cs="楷体"/>
                <w:spacing w:val="-2"/>
                <w:sz w:val="18"/>
                <w:szCs w:val="18"/>
              </w:rPr>
              <w:t>理疗用</w:t>
            </w:r>
            <w:r>
              <w:rPr>
                <w:rFonts w:ascii="楷体" w:hAnsi="楷体" w:eastAsia="楷体" w:cs="楷体"/>
                <w:spacing w:val="-4"/>
                <w:sz w:val="18"/>
                <w:szCs w:val="18"/>
              </w:rPr>
              <w:t>热矿水</w:t>
            </w:r>
          </w:p>
        </w:tc>
      </w:tr>
      <w:tr w14:paraId="6E1D4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556" w:type="dxa"/>
            <w:vAlign w:val="top"/>
          </w:tcPr>
          <w:p w14:paraId="597DD773">
            <w:pPr>
              <w:spacing w:before="240" w:line="238" w:lineRule="exact"/>
              <w:ind w:left="253"/>
              <w:rPr>
                <w:rFonts w:ascii="楷体" w:hAnsi="楷体" w:eastAsia="楷体" w:cs="楷体"/>
                <w:sz w:val="18"/>
                <w:szCs w:val="18"/>
              </w:rPr>
            </w:pPr>
            <w:r>
              <w:rPr>
                <w:rFonts w:ascii="楷体" w:hAnsi="楷体" w:eastAsia="楷体" w:cs="楷体"/>
                <w:position w:val="1"/>
                <w:sz w:val="18"/>
                <w:szCs w:val="18"/>
              </w:rPr>
              <w:t>4</w:t>
            </w:r>
          </w:p>
        </w:tc>
        <w:tc>
          <w:tcPr>
            <w:tcW w:w="859" w:type="dxa"/>
            <w:vAlign w:val="top"/>
          </w:tcPr>
          <w:p w14:paraId="4CD61E7A">
            <w:pPr>
              <w:spacing w:before="101" w:line="234" w:lineRule="auto"/>
              <w:ind w:left="127"/>
              <w:rPr>
                <w:rFonts w:ascii="楷体" w:hAnsi="楷体" w:eastAsia="楷体" w:cs="楷体"/>
                <w:sz w:val="18"/>
                <w:szCs w:val="18"/>
              </w:rPr>
            </w:pPr>
            <w:r>
              <w:rPr>
                <w:rFonts w:ascii="楷体" w:hAnsi="楷体" w:eastAsia="楷体" w:cs="楷体"/>
                <w:spacing w:val="-1"/>
                <w:sz w:val="18"/>
                <w:szCs w:val="18"/>
              </w:rPr>
              <w:t>KQ51320</w:t>
            </w:r>
          </w:p>
          <w:p w14:paraId="0A06EF38">
            <w:pPr>
              <w:spacing w:before="50" w:line="239" w:lineRule="auto"/>
              <w:ind w:left="183"/>
              <w:rPr>
                <w:rFonts w:ascii="楷体" w:hAnsi="楷体" w:eastAsia="楷体" w:cs="楷体"/>
                <w:sz w:val="18"/>
                <w:szCs w:val="18"/>
              </w:rPr>
            </w:pPr>
            <w:r>
              <w:rPr>
                <w:rFonts w:ascii="楷体" w:hAnsi="楷体" w:eastAsia="楷体" w:cs="楷体"/>
                <w:spacing w:val="-3"/>
                <w:sz w:val="18"/>
                <w:szCs w:val="18"/>
              </w:rPr>
              <w:t>000005</w:t>
            </w:r>
          </w:p>
        </w:tc>
        <w:tc>
          <w:tcPr>
            <w:tcW w:w="1847" w:type="dxa"/>
            <w:vAlign w:val="top"/>
          </w:tcPr>
          <w:p w14:paraId="73BAD87D">
            <w:pPr>
              <w:spacing w:before="101" w:line="270" w:lineRule="auto"/>
              <w:ind w:left="571" w:right="104" w:hanging="441"/>
              <w:rPr>
                <w:rFonts w:ascii="楷体" w:hAnsi="楷体" w:eastAsia="楷体" w:cs="楷体"/>
                <w:sz w:val="18"/>
                <w:szCs w:val="18"/>
              </w:rPr>
            </w:pPr>
            <w:r>
              <w:rPr>
                <w:rFonts w:ascii="楷体" w:hAnsi="楷体" w:eastAsia="楷体" w:cs="楷体"/>
                <w:spacing w:val="-2"/>
                <w:sz w:val="18"/>
                <w:szCs w:val="18"/>
              </w:rPr>
              <w:t>四川省若尔盖县降扎</w:t>
            </w:r>
            <w:r>
              <w:rPr>
                <w:rFonts w:ascii="楷体" w:hAnsi="楷体" w:eastAsia="楷体" w:cs="楷体"/>
                <w:spacing w:val="-1"/>
                <w:sz w:val="18"/>
                <w:szCs w:val="18"/>
              </w:rPr>
              <w:t>地热普查</w:t>
            </w:r>
          </w:p>
        </w:tc>
        <w:tc>
          <w:tcPr>
            <w:tcW w:w="983" w:type="dxa"/>
            <w:vAlign w:val="top"/>
          </w:tcPr>
          <w:p w14:paraId="63F51D3D">
            <w:pPr>
              <w:spacing w:before="241"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104B1A0B">
            <w:pPr>
              <w:spacing w:before="241" w:line="241" w:lineRule="auto"/>
              <w:ind w:left="399"/>
              <w:rPr>
                <w:rFonts w:ascii="楷体" w:hAnsi="楷体" w:eastAsia="楷体" w:cs="楷体"/>
                <w:sz w:val="18"/>
                <w:szCs w:val="18"/>
              </w:rPr>
            </w:pPr>
            <w:r>
              <w:rPr>
                <w:rFonts w:ascii="楷体" w:hAnsi="楷体" w:eastAsia="楷体" w:cs="楷体"/>
                <w:spacing w:val="-3"/>
                <w:sz w:val="18"/>
                <w:szCs w:val="18"/>
              </w:rPr>
              <w:t>2.75</w:t>
            </w:r>
          </w:p>
        </w:tc>
        <w:tc>
          <w:tcPr>
            <w:tcW w:w="4543" w:type="dxa"/>
            <w:vAlign w:val="top"/>
          </w:tcPr>
          <w:p w14:paraId="2992815B">
            <w:pPr>
              <w:rPr>
                <w:rFonts w:ascii="Arial"/>
                <w:sz w:val="21"/>
              </w:rPr>
            </w:pPr>
          </w:p>
        </w:tc>
        <w:tc>
          <w:tcPr>
            <w:tcW w:w="1118" w:type="dxa"/>
            <w:vAlign w:val="top"/>
          </w:tcPr>
          <w:p w14:paraId="46EDADD4">
            <w:pPr>
              <w:spacing w:before="240" w:line="220" w:lineRule="auto"/>
              <w:ind w:left="386"/>
              <w:rPr>
                <w:rFonts w:ascii="楷体" w:hAnsi="楷体" w:eastAsia="楷体" w:cs="楷体"/>
                <w:sz w:val="18"/>
                <w:szCs w:val="18"/>
              </w:rPr>
            </w:pPr>
            <w:r>
              <w:rPr>
                <w:rFonts w:ascii="楷体" w:hAnsi="楷体" w:eastAsia="楷体" w:cs="楷体"/>
                <w:sz w:val="18"/>
                <w:szCs w:val="18"/>
              </w:rPr>
              <w:t>普查</w:t>
            </w:r>
          </w:p>
        </w:tc>
        <w:tc>
          <w:tcPr>
            <w:tcW w:w="1497" w:type="dxa"/>
            <w:vAlign w:val="top"/>
          </w:tcPr>
          <w:p w14:paraId="17FC2EC6">
            <w:pPr>
              <w:spacing w:before="240"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2231FA04">
            <w:pPr>
              <w:spacing w:before="240"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7EBB195D">
            <w:pPr>
              <w:spacing w:before="101" w:line="220" w:lineRule="auto"/>
              <w:ind w:left="199"/>
              <w:rPr>
                <w:rFonts w:ascii="楷体" w:hAnsi="楷体" w:eastAsia="楷体" w:cs="楷体"/>
                <w:sz w:val="18"/>
                <w:szCs w:val="18"/>
              </w:rPr>
            </w:pPr>
            <w:r>
              <w:rPr>
                <w:rFonts w:ascii="楷体" w:hAnsi="楷体" w:eastAsia="楷体" w:cs="楷体"/>
                <w:spacing w:val="-2"/>
                <w:sz w:val="18"/>
                <w:szCs w:val="18"/>
              </w:rPr>
              <w:t>理疗用</w:t>
            </w:r>
          </w:p>
          <w:p w14:paraId="75F0A4A8">
            <w:pPr>
              <w:spacing w:before="63" w:line="225" w:lineRule="auto"/>
              <w:ind w:left="203"/>
              <w:rPr>
                <w:rFonts w:ascii="楷体" w:hAnsi="楷体" w:eastAsia="楷体" w:cs="楷体"/>
                <w:sz w:val="18"/>
                <w:szCs w:val="18"/>
              </w:rPr>
            </w:pPr>
            <w:r>
              <w:rPr>
                <w:rFonts w:ascii="楷体" w:hAnsi="楷体" w:eastAsia="楷体" w:cs="楷体"/>
                <w:spacing w:val="-4"/>
                <w:sz w:val="18"/>
                <w:szCs w:val="18"/>
              </w:rPr>
              <w:t>热矿水</w:t>
            </w:r>
          </w:p>
        </w:tc>
      </w:tr>
      <w:tr w14:paraId="566FD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556" w:type="dxa"/>
            <w:vAlign w:val="top"/>
          </w:tcPr>
          <w:p w14:paraId="3969C98E">
            <w:pPr>
              <w:spacing w:line="295" w:lineRule="auto"/>
              <w:rPr>
                <w:rFonts w:ascii="Arial"/>
                <w:sz w:val="21"/>
              </w:rPr>
            </w:pPr>
          </w:p>
          <w:p w14:paraId="29695AB9">
            <w:pPr>
              <w:spacing w:before="59" w:line="241" w:lineRule="auto"/>
              <w:ind w:left="256"/>
              <w:rPr>
                <w:rFonts w:ascii="楷体" w:hAnsi="楷体" w:eastAsia="楷体" w:cs="楷体"/>
                <w:sz w:val="18"/>
                <w:szCs w:val="18"/>
              </w:rPr>
            </w:pPr>
            <w:r>
              <w:rPr>
                <w:rFonts w:ascii="楷体" w:hAnsi="楷体" w:eastAsia="楷体" w:cs="楷体"/>
                <w:sz w:val="18"/>
                <w:szCs w:val="18"/>
              </w:rPr>
              <w:t>5</w:t>
            </w:r>
          </w:p>
        </w:tc>
        <w:tc>
          <w:tcPr>
            <w:tcW w:w="859" w:type="dxa"/>
            <w:vAlign w:val="top"/>
          </w:tcPr>
          <w:p w14:paraId="1FF6D83A">
            <w:pPr>
              <w:spacing w:before="216" w:line="234" w:lineRule="auto"/>
              <w:ind w:left="127"/>
              <w:rPr>
                <w:rFonts w:ascii="楷体" w:hAnsi="楷体" w:eastAsia="楷体" w:cs="楷体"/>
                <w:sz w:val="18"/>
                <w:szCs w:val="18"/>
              </w:rPr>
            </w:pPr>
            <w:r>
              <w:rPr>
                <w:rFonts w:ascii="楷体" w:hAnsi="楷体" w:eastAsia="楷体" w:cs="楷体"/>
                <w:spacing w:val="-1"/>
                <w:sz w:val="18"/>
                <w:szCs w:val="18"/>
              </w:rPr>
              <w:t>KQ51320</w:t>
            </w:r>
          </w:p>
          <w:p w14:paraId="21AC602B">
            <w:pPr>
              <w:spacing w:before="50" w:line="239" w:lineRule="auto"/>
              <w:ind w:left="183"/>
              <w:rPr>
                <w:rFonts w:ascii="楷体" w:hAnsi="楷体" w:eastAsia="楷体" w:cs="楷体"/>
                <w:sz w:val="18"/>
                <w:szCs w:val="18"/>
              </w:rPr>
            </w:pPr>
            <w:r>
              <w:rPr>
                <w:rFonts w:ascii="楷体" w:hAnsi="楷体" w:eastAsia="楷体" w:cs="楷体"/>
                <w:spacing w:val="-3"/>
                <w:sz w:val="18"/>
                <w:szCs w:val="18"/>
              </w:rPr>
              <w:t>000006</w:t>
            </w:r>
          </w:p>
        </w:tc>
        <w:tc>
          <w:tcPr>
            <w:tcW w:w="1847" w:type="dxa"/>
            <w:vAlign w:val="top"/>
          </w:tcPr>
          <w:p w14:paraId="6FE5B656">
            <w:pPr>
              <w:spacing w:before="216" w:line="287" w:lineRule="auto"/>
              <w:ind w:left="571" w:right="104" w:hanging="441"/>
              <w:rPr>
                <w:rFonts w:ascii="楷体" w:hAnsi="楷体" w:eastAsia="楷体" w:cs="楷体"/>
                <w:sz w:val="18"/>
                <w:szCs w:val="18"/>
              </w:rPr>
            </w:pPr>
            <w:r>
              <w:rPr>
                <w:rFonts w:ascii="楷体" w:hAnsi="楷体" w:eastAsia="楷体" w:cs="楷体"/>
                <w:spacing w:val="-2"/>
                <w:sz w:val="18"/>
                <w:szCs w:val="18"/>
              </w:rPr>
              <w:t>四川省若尔盖县河它</w:t>
            </w:r>
            <w:r>
              <w:rPr>
                <w:rFonts w:ascii="楷体" w:hAnsi="楷体" w:eastAsia="楷体" w:cs="楷体"/>
                <w:spacing w:val="-1"/>
                <w:sz w:val="18"/>
                <w:szCs w:val="18"/>
              </w:rPr>
              <w:t>地热普查</w:t>
            </w:r>
          </w:p>
        </w:tc>
        <w:tc>
          <w:tcPr>
            <w:tcW w:w="983" w:type="dxa"/>
            <w:vAlign w:val="top"/>
          </w:tcPr>
          <w:p w14:paraId="6F586283">
            <w:pPr>
              <w:spacing w:line="295" w:lineRule="auto"/>
              <w:rPr>
                <w:rFonts w:ascii="Arial"/>
                <w:sz w:val="21"/>
              </w:rPr>
            </w:pPr>
          </w:p>
          <w:p w14:paraId="5C563963">
            <w:pPr>
              <w:spacing w:before="59"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17410163">
            <w:pPr>
              <w:spacing w:line="295" w:lineRule="auto"/>
              <w:rPr>
                <w:rFonts w:ascii="Arial"/>
                <w:sz w:val="21"/>
              </w:rPr>
            </w:pPr>
          </w:p>
          <w:p w14:paraId="4A0B05B8">
            <w:pPr>
              <w:spacing w:before="59" w:line="239" w:lineRule="auto"/>
              <w:ind w:left="399"/>
              <w:rPr>
                <w:rFonts w:ascii="楷体" w:hAnsi="楷体" w:eastAsia="楷体" w:cs="楷体"/>
                <w:sz w:val="18"/>
                <w:szCs w:val="18"/>
              </w:rPr>
            </w:pPr>
            <w:r>
              <w:rPr>
                <w:rFonts w:ascii="楷体" w:hAnsi="楷体" w:eastAsia="楷体" w:cs="楷体"/>
                <w:spacing w:val="-3"/>
                <w:sz w:val="18"/>
                <w:szCs w:val="18"/>
              </w:rPr>
              <w:t>2.70</w:t>
            </w:r>
          </w:p>
        </w:tc>
        <w:tc>
          <w:tcPr>
            <w:tcW w:w="4543" w:type="dxa"/>
            <w:vAlign w:val="top"/>
          </w:tcPr>
          <w:p w14:paraId="307A0DB9">
            <w:pPr>
              <w:rPr>
                <w:rFonts w:ascii="Arial"/>
                <w:sz w:val="21"/>
              </w:rPr>
            </w:pPr>
          </w:p>
        </w:tc>
        <w:tc>
          <w:tcPr>
            <w:tcW w:w="1118" w:type="dxa"/>
            <w:vAlign w:val="top"/>
          </w:tcPr>
          <w:p w14:paraId="789B84FD">
            <w:pPr>
              <w:spacing w:line="295" w:lineRule="auto"/>
              <w:rPr>
                <w:rFonts w:ascii="Arial"/>
                <w:sz w:val="21"/>
              </w:rPr>
            </w:pPr>
          </w:p>
          <w:p w14:paraId="6D732B04">
            <w:pPr>
              <w:spacing w:before="58" w:line="220" w:lineRule="auto"/>
              <w:ind w:left="386"/>
              <w:rPr>
                <w:rFonts w:ascii="楷体" w:hAnsi="楷体" w:eastAsia="楷体" w:cs="楷体"/>
                <w:sz w:val="18"/>
                <w:szCs w:val="18"/>
              </w:rPr>
            </w:pPr>
            <w:r>
              <w:rPr>
                <w:rFonts w:ascii="楷体" w:hAnsi="楷体" w:eastAsia="楷体" w:cs="楷体"/>
                <w:sz w:val="18"/>
                <w:szCs w:val="18"/>
              </w:rPr>
              <w:t>普查</w:t>
            </w:r>
          </w:p>
        </w:tc>
        <w:tc>
          <w:tcPr>
            <w:tcW w:w="1497" w:type="dxa"/>
            <w:vAlign w:val="top"/>
          </w:tcPr>
          <w:p w14:paraId="343D78EA">
            <w:pPr>
              <w:spacing w:line="295" w:lineRule="auto"/>
              <w:rPr>
                <w:rFonts w:ascii="Arial"/>
                <w:sz w:val="21"/>
              </w:rPr>
            </w:pPr>
          </w:p>
          <w:p w14:paraId="6AB537F1">
            <w:pPr>
              <w:spacing w:before="58"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59E44266">
            <w:pPr>
              <w:spacing w:line="295" w:lineRule="auto"/>
              <w:rPr>
                <w:rFonts w:ascii="Arial"/>
                <w:sz w:val="21"/>
              </w:rPr>
            </w:pPr>
          </w:p>
          <w:p w14:paraId="2D4C867D">
            <w:pPr>
              <w:spacing w:before="59" w:line="239" w:lineRule="auto"/>
              <w:ind w:left="205"/>
              <w:rPr>
                <w:rFonts w:ascii="楷体" w:hAnsi="楷体" w:eastAsia="楷体" w:cs="楷体"/>
                <w:sz w:val="18"/>
                <w:szCs w:val="18"/>
              </w:rPr>
            </w:pPr>
            <w:r>
              <w:rPr>
                <w:rFonts w:ascii="楷体" w:hAnsi="楷体" w:eastAsia="楷体" w:cs="楷体"/>
                <w:spacing w:val="-3"/>
                <w:sz w:val="18"/>
                <w:szCs w:val="18"/>
              </w:rPr>
              <w:t>2024</w:t>
            </w:r>
          </w:p>
        </w:tc>
        <w:tc>
          <w:tcPr>
            <w:tcW w:w="911" w:type="dxa"/>
            <w:vAlign w:val="top"/>
          </w:tcPr>
          <w:p w14:paraId="31834DAF">
            <w:pPr>
              <w:spacing w:before="216" w:line="290" w:lineRule="auto"/>
              <w:ind w:left="202" w:right="171" w:hanging="3"/>
              <w:rPr>
                <w:rFonts w:ascii="楷体" w:hAnsi="楷体" w:eastAsia="楷体" w:cs="楷体"/>
                <w:sz w:val="18"/>
                <w:szCs w:val="18"/>
              </w:rPr>
            </w:pPr>
            <w:r>
              <w:rPr>
                <w:rFonts w:ascii="楷体" w:hAnsi="楷体" w:eastAsia="楷体" w:cs="楷体"/>
                <w:spacing w:val="-2"/>
                <w:sz w:val="18"/>
                <w:szCs w:val="18"/>
              </w:rPr>
              <w:t>理疗用</w:t>
            </w:r>
            <w:r>
              <w:rPr>
                <w:rFonts w:ascii="楷体" w:hAnsi="楷体" w:eastAsia="楷体" w:cs="楷体"/>
                <w:spacing w:val="-4"/>
                <w:sz w:val="18"/>
                <w:szCs w:val="18"/>
              </w:rPr>
              <w:t>热矿水</w:t>
            </w:r>
          </w:p>
        </w:tc>
      </w:tr>
      <w:tr w14:paraId="0458C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4" w:hRule="atLeast"/>
        </w:trPr>
        <w:tc>
          <w:tcPr>
            <w:tcW w:w="556" w:type="dxa"/>
            <w:vAlign w:val="top"/>
          </w:tcPr>
          <w:p w14:paraId="0FF4005A">
            <w:pPr>
              <w:spacing w:line="458" w:lineRule="auto"/>
              <w:rPr>
                <w:rFonts w:ascii="Arial"/>
                <w:sz w:val="21"/>
              </w:rPr>
            </w:pPr>
          </w:p>
          <w:p w14:paraId="4718ADAF">
            <w:pPr>
              <w:spacing w:before="59" w:line="241" w:lineRule="auto"/>
              <w:ind w:left="255"/>
              <w:rPr>
                <w:rFonts w:ascii="楷体" w:hAnsi="楷体" w:eastAsia="楷体" w:cs="楷体"/>
                <w:sz w:val="18"/>
                <w:szCs w:val="18"/>
              </w:rPr>
            </w:pPr>
            <w:r>
              <w:rPr>
                <w:rFonts w:ascii="楷体" w:hAnsi="楷体" w:eastAsia="楷体" w:cs="楷体"/>
                <w:sz w:val="18"/>
                <w:szCs w:val="18"/>
              </w:rPr>
              <w:t>6</w:t>
            </w:r>
          </w:p>
        </w:tc>
        <w:tc>
          <w:tcPr>
            <w:tcW w:w="859" w:type="dxa"/>
            <w:vAlign w:val="top"/>
          </w:tcPr>
          <w:p w14:paraId="0FEA87C1">
            <w:pPr>
              <w:spacing w:line="319" w:lineRule="auto"/>
              <w:rPr>
                <w:rFonts w:ascii="Arial"/>
                <w:sz w:val="21"/>
              </w:rPr>
            </w:pPr>
          </w:p>
          <w:p w14:paraId="26AD34D0">
            <w:pPr>
              <w:spacing w:before="59" w:line="234" w:lineRule="auto"/>
              <w:ind w:left="127"/>
              <w:rPr>
                <w:rFonts w:ascii="楷体" w:hAnsi="楷体" w:eastAsia="楷体" w:cs="楷体"/>
                <w:sz w:val="18"/>
                <w:szCs w:val="18"/>
              </w:rPr>
            </w:pPr>
            <w:r>
              <w:rPr>
                <w:rFonts w:ascii="楷体" w:hAnsi="楷体" w:eastAsia="楷体" w:cs="楷体"/>
                <w:spacing w:val="-1"/>
                <w:sz w:val="18"/>
                <w:szCs w:val="18"/>
              </w:rPr>
              <w:t>KQ51320</w:t>
            </w:r>
          </w:p>
          <w:p w14:paraId="07FD2F56">
            <w:pPr>
              <w:spacing w:before="50" w:line="239" w:lineRule="auto"/>
              <w:ind w:left="183"/>
              <w:rPr>
                <w:rFonts w:ascii="楷体" w:hAnsi="楷体" w:eastAsia="楷体" w:cs="楷体"/>
                <w:sz w:val="18"/>
                <w:szCs w:val="18"/>
              </w:rPr>
            </w:pPr>
            <w:r>
              <w:rPr>
                <w:rFonts w:ascii="楷体" w:hAnsi="楷体" w:eastAsia="楷体" w:cs="楷体"/>
                <w:spacing w:val="-3"/>
                <w:sz w:val="18"/>
                <w:szCs w:val="18"/>
              </w:rPr>
              <w:t>000008</w:t>
            </w:r>
          </w:p>
        </w:tc>
        <w:tc>
          <w:tcPr>
            <w:tcW w:w="1847" w:type="dxa"/>
            <w:vAlign w:val="top"/>
          </w:tcPr>
          <w:p w14:paraId="126380FD">
            <w:pPr>
              <w:spacing w:line="319" w:lineRule="auto"/>
              <w:rPr>
                <w:rFonts w:ascii="Arial"/>
                <w:sz w:val="21"/>
              </w:rPr>
            </w:pPr>
          </w:p>
          <w:p w14:paraId="0D03A839">
            <w:pPr>
              <w:spacing w:before="58" w:line="287" w:lineRule="auto"/>
              <w:ind w:left="668" w:right="104" w:hanging="538"/>
              <w:rPr>
                <w:rFonts w:ascii="楷体" w:hAnsi="楷体" w:eastAsia="楷体" w:cs="楷体"/>
                <w:sz w:val="18"/>
                <w:szCs w:val="18"/>
              </w:rPr>
            </w:pPr>
            <w:r>
              <w:rPr>
                <w:rFonts w:ascii="楷体" w:hAnsi="楷体" w:eastAsia="楷体" w:cs="楷体"/>
                <w:spacing w:val="-2"/>
                <w:sz w:val="18"/>
                <w:szCs w:val="18"/>
              </w:rPr>
              <w:t>四川省壤塘县壤古地</w:t>
            </w:r>
            <w:r>
              <w:rPr>
                <w:rFonts w:ascii="楷体" w:hAnsi="楷体" w:eastAsia="楷体" w:cs="楷体"/>
                <w:spacing w:val="-4"/>
                <w:sz w:val="18"/>
                <w:szCs w:val="18"/>
              </w:rPr>
              <w:t>热普查</w:t>
            </w:r>
          </w:p>
        </w:tc>
        <w:tc>
          <w:tcPr>
            <w:tcW w:w="983" w:type="dxa"/>
            <w:vAlign w:val="top"/>
          </w:tcPr>
          <w:p w14:paraId="0B8CC4B1">
            <w:pPr>
              <w:spacing w:line="458" w:lineRule="auto"/>
              <w:rPr>
                <w:rFonts w:ascii="Arial"/>
                <w:sz w:val="21"/>
              </w:rPr>
            </w:pPr>
          </w:p>
          <w:p w14:paraId="1BA2AC56">
            <w:pPr>
              <w:spacing w:before="59"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73FAA2DD">
            <w:pPr>
              <w:spacing w:line="458" w:lineRule="auto"/>
              <w:rPr>
                <w:rFonts w:ascii="Arial"/>
                <w:sz w:val="21"/>
              </w:rPr>
            </w:pPr>
          </w:p>
          <w:p w14:paraId="6268B27C">
            <w:pPr>
              <w:spacing w:before="58" w:line="239" w:lineRule="auto"/>
              <w:ind w:left="405"/>
              <w:rPr>
                <w:rFonts w:ascii="楷体" w:hAnsi="楷体" w:eastAsia="楷体" w:cs="楷体"/>
                <w:sz w:val="18"/>
                <w:szCs w:val="18"/>
              </w:rPr>
            </w:pPr>
            <w:r>
              <w:rPr>
                <w:rFonts w:ascii="楷体" w:hAnsi="楷体" w:eastAsia="楷体" w:cs="楷体"/>
                <w:spacing w:val="-5"/>
                <w:sz w:val="18"/>
                <w:szCs w:val="18"/>
              </w:rPr>
              <w:t>0.94</w:t>
            </w:r>
          </w:p>
        </w:tc>
        <w:tc>
          <w:tcPr>
            <w:tcW w:w="4543" w:type="dxa"/>
            <w:vAlign w:val="top"/>
          </w:tcPr>
          <w:p w14:paraId="2FB2947B">
            <w:pPr>
              <w:rPr>
                <w:rFonts w:ascii="Arial"/>
                <w:sz w:val="21"/>
              </w:rPr>
            </w:pPr>
          </w:p>
        </w:tc>
        <w:tc>
          <w:tcPr>
            <w:tcW w:w="1118" w:type="dxa"/>
            <w:vAlign w:val="top"/>
          </w:tcPr>
          <w:p w14:paraId="2E1DE835">
            <w:pPr>
              <w:spacing w:line="457" w:lineRule="auto"/>
              <w:rPr>
                <w:rFonts w:ascii="Arial"/>
                <w:sz w:val="21"/>
              </w:rPr>
            </w:pPr>
          </w:p>
          <w:p w14:paraId="18574409">
            <w:pPr>
              <w:spacing w:before="59" w:line="217" w:lineRule="auto"/>
              <w:ind w:left="209"/>
              <w:rPr>
                <w:rFonts w:ascii="楷体" w:hAnsi="楷体" w:eastAsia="楷体" w:cs="楷体"/>
                <w:sz w:val="18"/>
                <w:szCs w:val="18"/>
              </w:rPr>
            </w:pPr>
            <w:r>
              <w:rPr>
                <w:rFonts w:ascii="楷体" w:hAnsi="楷体" w:eastAsia="楷体" w:cs="楷体"/>
                <w:spacing w:val="-1"/>
                <w:sz w:val="18"/>
                <w:szCs w:val="18"/>
              </w:rPr>
              <w:t>调查评价</w:t>
            </w:r>
          </w:p>
        </w:tc>
        <w:tc>
          <w:tcPr>
            <w:tcW w:w="1497" w:type="dxa"/>
            <w:vAlign w:val="top"/>
          </w:tcPr>
          <w:p w14:paraId="57F6EF4E">
            <w:pPr>
              <w:spacing w:line="457" w:lineRule="auto"/>
              <w:rPr>
                <w:rFonts w:ascii="Arial"/>
                <w:sz w:val="21"/>
              </w:rPr>
            </w:pPr>
          </w:p>
          <w:p w14:paraId="0C128088">
            <w:pPr>
              <w:spacing w:before="59"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0BDA4961">
            <w:pPr>
              <w:spacing w:line="458" w:lineRule="auto"/>
              <w:rPr>
                <w:rFonts w:ascii="Arial"/>
                <w:sz w:val="21"/>
              </w:rPr>
            </w:pPr>
          </w:p>
          <w:p w14:paraId="1EC798C7">
            <w:pPr>
              <w:spacing w:before="58"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3ECFBC28">
            <w:pPr>
              <w:spacing w:line="319" w:lineRule="auto"/>
              <w:rPr>
                <w:rFonts w:ascii="Arial"/>
                <w:sz w:val="21"/>
              </w:rPr>
            </w:pPr>
          </w:p>
          <w:p w14:paraId="6E430AC0">
            <w:pPr>
              <w:spacing w:before="58" w:line="290" w:lineRule="auto"/>
              <w:ind w:left="202" w:right="171" w:hanging="3"/>
              <w:rPr>
                <w:rFonts w:ascii="楷体" w:hAnsi="楷体" w:eastAsia="楷体" w:cs="楷体"/>
                <w:sz w:val="18"/>
                <w:szCs w:val="18"/>
              </w:rPr>
            </w:pPr>
            <w:r>
              <w:rPr>
                <w:rFonts w:ascii="楷体" w:hAnsi="楷体" w:eastAsia="楷体" w:cs="楷体"/>
                <w:spacing w:val="-2"/>
                <w:sz w:val="18"/>
                <w:szCs w:val="18"/>
              </w:rPr>
              <w:t>理疗用</w:t>
            </w:r>
            <w:r>
              <w:rPr>
                <w:rFonts w:ascii="楷体" w:hAnsi="楷体" w:eastAsia="楷体" w:cs="楷体"/>
                <w:spacing w:val="-4"/>
                <w:sz w:val="18"/>
                <w:szCs w:val="18"/>
              </w:rPr>
              <w:t>热矿水</w:t>
            </w:r>
          </w:p>
        </w:tc>
      </w:tr>
      <w:tr w14:paraId="4C351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56" w:type="dxa"/>
            <w:vAlign w:val="top"/>
          </w:tcPr>
          <w:p w14:paraId="27978D27">
            <w:pPr>
              <w:spacing w:before="242" w:line="237" w:lineRule="exact"/>
              <w:ind w:left="255"/>
              <w:rPr>
                <w:rFonts w:ascii="楷体" w:hAnsi="楷体" w:eastAsia="楷体" w:cs="楷体"/>
                <w:sz w:val="18"/>
                <w:szCs w:val="18"/>
              </w:rPr>
            </w:pPr>
            <w:r>
              <w:rPr>
                <w:rFonts w:ascii="楷体" w:hAnsi="楷体" w:eastAsia="楷体" w:cs="楷体"/>
                <w:position w:val="1"/>
                <w:sz w:val="18"/>
                <w:szCs w:val="18"/>
              </w:rPr>
              <w:t>7</w:t>
            </w:r>
          </w:p>
        </w:tc>
        <w:tc>
          <w:tcPr>
            <w:tcW w:w="859" w:type="dxa"/>
            <w:vAlign w:val="top"/>
          </w:tcPr>
          <w:p w14:paraId="00764F9A">
            <w:pPr>
              <w:spacing w:before="98" w:line="234" w:lineRule="auto"/>
              <w:ind w:left="127"/>
              <w:rPr>
                <w:rFonts w:ascii="楷体" w:hAnsi="楷体" w:eastAsia="楷体" w:cs="楷体"/>
                <w:sz w:val="18"/>
                <w:szCs w:val="18"/>
              </w:rPr>
            </w:pPr>
            <w:r>
              <w:rPr>
                <w:rFonts w:ascii="楷体" w:hAnsi="楷体" w:eastAsia="楷体" w:cs="楷体"/>
                <w:spacing w:val="-1"/>
                <w:sz w:val="18"/>
                <w:szCs w:val="18"/>
              </w:rPr>
              <w:t>KQ51320</w:t>
            </w:r>
          </w:p>
          <w:p w14:paraId="7FB2A508">
            <w:pPr>
              <w:spacing w:before="55" w:line="239" w:lineRule="auto"/>
              <w:ind w:left="183"/>
              <w:rPr>
                <w:rFonts w:ascii="楷体" w:hAnsi="楷体" w:eastAsia="楷体" w:cs="楷体"/>
                <w:sz w:val="18"/>
                <w:szCs w:val="18"/>
              </w:rPr>
            </w:pPr>
            <w:r>
              <w:rPr>
                <w:rFonts w:ascii="楷体" w:hAnsi="楷体" w:eastAsia="楷体" w:cs="楷体"/>
                <w:spacing w:val="-3"/>
                <w:sz w:val="18"/>
                <w:szCs w:val="18"/>
              </w:rPr>
              <w:t>000009</w:t>
            </w:r>
          </w:p>
        </w:tc>
        <w:tc>
          <w:tcPr>
            <w:tcW w:w="1847" w:type="dxa"/>
            <w:vAlign w:val="top"/>
          </w:tcPr>
          <w:p w14:paraId="25B50E36">
            <w:pPr>
              <w:spacing w:before="98" w:line="269" w:lineRule="auto"/>
              <w:ind w:left="571" w:right="104" w:hanging="441"/>
              <w:rPr>
                <w:rFonts w:ascii="楷体" w:hAnsi="楷体" w:eastAsia="楷体" w:cs="楷体"/>
                <w:sz w:val="18"/>
                <w:szCs w:val="18"/>
              </w:rPr>
            </w:pPr>
            <w:r>
              <w:rPr>
                <w:rFonts w:ascii="楷体" w:hAnsi="楷体" w:eastAsia="楷体" w:cs="楷体"/>
                <w:spacing w:val="-2"/>
                <w:sz w:val="18"/>
                <w:szCs w:val="18"/>
              </w:rPr>
              <w:t>四川省汶川县阿尔沟</w:t>
            </w:r>
            <w:r>
              <w:rPr>
                <w:rFonts w:ascii="楷体" w:hAnsi="楷体" w:eastAsia="楷体" w:cs="楷体"/>
                <w:spacing w:val="-1"/>
                <w:sz w:val="18"/>
                <w:szCs w:val="18"/>
              </w:rPr>
              <w:t>地热普查</w:t>
            </w:r>
          </w:p>
        </w:tc>
        <w:tc>
          <w:tcPr>
            <w:tcW w:w="983" w:type="dxa"/>
            <w:vAlign w:val="top"/>
          </w:tcPr>
          <w:p w14:paraId="1750FC3C">
            <w:pPr>
              <w:spacing w:before="242" w:line="228" w:lineRule="auto"/>
              <w:ind w:left="318"/>
              <w:rPr>
                <w:rFonts w:ascii="楷体" w:hAnsi="楷体" w:eastAsia="楷体" w:cs="楷体"/>
                <w:sz w:val="18"/>
                <w:szCs w:val="18"/>
              </w:rPr>
            </w:pPr>
            <w:r>
              <w:rPr>
                <w:rFonts w:ascii="楷体" w:hAnsi="楷体" w:eastAsia="楷体" w:cs="楷体"/>
                <w:spacing w:val="-1"/>
                <w:sz w:val="18"/>
                <w:szCs w:val="18"/>
              </w:rPr>
              <w:t>地热</w:t>
            </w:r>
          </w:p>
        </w:tc>
        <w:tc>
          <w:tcPr>
            <w:tcW w:w="1127" w:type="dxa"/>
            <w:vAlign w:val="top"/>
          </w:tcPr>
          <w:p w14:paraId="5130E4A8">
            <w:pPr>
              <w:spacing w:before="242" w:line="241" w:lineRule="auto"/>
              <w:ind w:left="401"/>
              <w:rPr>
                <w:rFonts w:ascii="楷体" w:hAnsi="楷体" w:eastAsia="楷体" w:cs="楷体"/>
                <w:sz w:val="18"/>
                <w:szCs w:val="18"/>
              </w:rPr>
            </w:pPr>
            <w:r>
              <w:rPr>
                <w:rFonts w:ascii="楷体" w:hAnsi="楷体" w:eastAsia="楷体" w:cs="楷体"/>
                <w:spacing w:val="-4"/>
                <w:sz w:val="18"/>
                <w:szCs w:val="18"/>
              </w:rPr>
              <w:t>6.57</w:t>
            </w:r>
          </w:p>
        </w:tc>
        <w:tc>
          <w:tcPr>
            <w:tcW w:w="4543" w:type="dxa"/>
            <w:vAlign w:val="top"/>
          </w:tcPr>
          <w:p w14:paraId="12EF1DC7">
            <w:pPr>
              <w:rPr>
                <w:rFonts w:ascii="Arial"/>
                <w:sz w:val="21"/>
              </w:rPr>
            </w:pPr>
          </w:p>
        </w:tc>
        <w:tc>
          <w:tcPr>
            <w:tcW w:w="1118" w:type="dxa"/>
            <w:vAlign w:val="top"/>
          </w:tcPr>
          <w:p w14:paraId="41F127C9">
            <w:pPr>
              <w:spacing w:before="241" w:line="217" w:lineRule="auto"/>
              <w:ind w:left="209"/>
              <w:rPr>
                <w:rFonts w:ascii="楷体" w:hAnsi="楷体" w:eastAsia="楷体" w:cs="楷体"/>
                <w:sz w:val="18"/>
                <w:szCs w:val="18"/>
              </w:rPr>
            </w:pPr>
            <w:r>
              <w:rPr>
                <w:rFonts w:ascii="楷体" w:hAnsi="楷体" w:eastAsia="楷体" w:cs="楷体"/>
                <w:spacing w:val="-1"/>
                <w:sz w:val="18"/>
                <w:szCs w:val="18"/>
              </w:rPr>
              <w:t>调查评价</w:t>
            </w:r>
          </w:p>
        </w:tc>
        <w:tc>
          <w:tcPr>
            <w:tcW w:w="1497" w:type="dxa"/>
            <w:vAlign w:val="top"/>
          </w:tcPr>
          <w:p w14:paraId="5AF141E1">
            <w:pPr>
              <w:spacing w:before="241"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03CB0802">
            <w:pPr>
              <w:spacing w:before="242" w:line="239" w:lineRule="auto"/>
              <w:ind w:left="205"/>
              <w:rPr>
                <w:rFonts w:ascii="楷体" w:hAnsi="楷体" w:eastAsia="楷体" w:cs="楷体"/>
                <w:sz w:val="18"/>
                <w:szCs w:val="18"/>
              </w:rPr>
            </w:pPr>
            <w:r>
              <w:rPr>
                <w:rFonts w:ascii="楷体" w:hAnsi="楷体" w:eastAsia="楷体" w:cs="楷体"/>
                <w:spacing w:val="-3"/>
                <w:sz w:val="18"/>
                <w:szCs w:val="18"/>
              </w:rPr>
              <w:t>2024</w:t>
            </w:r>
          </w:p>
        </w:tc>
        <w:tc>
          <w:tcPr>
            <w:tcW w:w="911" w:type="dxa"/>
            <w:vAlign w:val="top"/>
          </w:tcPr>
          <w:p w14:paraId="758D4B07">
            <w:pPr>
              <w:spacing w:before="98" w:line="220" w:lineRule="auto"/>
              <w:ind w:left="199"/>
              <w:rPr>
                <w:rFonts w:ascii="楷体" w:hAnsi="楷体" w:eastAsia="楷体" w:cs="楷体"/>
                <w:sz w:val="18"/>
                <w:szCs w:val="18"/>
              </w:rPr>
            </w:pPr>
            <w:r>
              <w:rPr>
                <w:rFonts w:ascii="楷体" w:hAnsi="楷体" w:eastAsia="楷体" w:cs="楷体"/>
                <w:spacing w:val="-2"/>
                <w:sz w:val="18"/>
                <w:szCs w:val="18"/>
              </w:rPr>
              <w:t>理疗用</w:t>
            </w:r>
          </w:p>
          <w:p w14:paraId="295D0F53">
            <w:pPr>
              <w:spacing w:before="68" w:line="225" w:lineRule="auto"/>
              <w:ind w:left="203"/>
              <w:rPr>
                <w:rFonts w:ascii="楷体" w:hAnsi="楷体" w:eastAsia="楷体" w:cs="楷体"/>
                <w:sz w:val="18"/>
                <w:szCs w:val="18"/>
              </w:rPr>
            </w:pPr>
            <w:r>
              <w:rPr>
                <w:rFonts w:ascii="楷体" w:hAnsi="楷体" w:eastAsia="楷体" w:cs="楷体"/>
                <w:spacing w:val="-4"/>
                <w:sz w:val="18"/>
                <w:szCs w:val="18"/>
              </w:rPr>
              <w:t>热矿水</w:t>
            </w:r>
          </w:p>
        </w:tc>
      </w:tr>
      <w:tr w14:paraId="3D285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56" w:type="dxa"/>
            <w:vAlign w:val="top"/>
          </w:tcPr>
          <w:p w14:paraId="5143A4B1">
            <w:pPr>
              <w:spacing w:before="275" w:line="242" w:lineRule="auto"/>
              <w:ind w:left="255"/>
              <w:rPr>
                <w:rFonts w:ascii="楷体" w:hAnsi="楷体" w:eastAsia="楷体" w:cs="楷体"/>
                <w:sz w:val="18"/>
                <w:szCs w:val="18"/>
              </w:rPr>
            </w:pPr>
            <w:r>
              <w:rPr>
                <w:rFonts w:ascii="楷体" w:hAnsi="楷体" w:eastAsia="楷体" w:cs="楷体"/>
                <w:sz w:val="18"/>
                <w:szCs w:val="18"/>
              </w:rPr>
              <w:t>8</w:t>
            </w:r>
          </w:p>
        </w:tc>
        <w:tc>
          <w:tcPr>
            <w:tcW w:w="859" w:type="dxa"/>
            <w:vAlign w:val="top"/>
          </w:tcPr>
          <w:p w14:paraId="2F7438FA">
            <w:pPr>
              <w:spacing w:before="136" w:line="234" w:lineRule="auto"/>
              <w:ind w:left="127"/>
              <w:rPr>
                <w:rFonts w:ascii="楷体" w:hAnsi="楷体" w:eastAsia="楷体" w:cs="楷体"/>
                <w:sz w:val="18"/>
                <w:szCs w:val="18"/>
              </w:rPr>
            </w:pPr>
            <w:r>
              <w:rPr>
                <w:rFonts w:ascii="楷体" w:hAnsi="楷体" w:eastAsia="楷体" w:cs="楷体"/>
                <w:spacing w:val="-1"/>
                <w:sz w:val="18"/>
                <w:szCs w:val="18"/>
              </w:rPr>
              <w:t>KQ51320</w:t>
            </w:r>
          </w:p>
          <w:p w14:paraId="71BFCE24">
            <w:pPr>
              <w:spacing w:before="50" w:line="239" w:lineRule="auto"/>
              <w:ind w:left="183"/>
              <w:rPr>
                <w:rFonts w:ascii="楷体" w:hAnsi="楷体" w:eastAsia="楷体" w:cs="楷体"/>
                <w:sz w:val="18"/>
                <w:szCs w:val="18"/>
              </w:rPr>
            </w:pPr>
            <w:r>
              <w:rPr>
                <w:rFonts w:ascii="楷体" w:hAnsi="楷体" w:eastAsia="楷体" w:cs="楷体"/>
                <w:spacing w:val="-3"/>
                <w:sz w:val="18"/>
                <w:szCs w:val="18"/>
              </w:rPr>
              <w:t>000010</w:t>
            </w:r>
          </w:p>
        </w:tc>
        <w:tc>
          <w:tcPr>
            <w:tcW w:w="1847" w:type="dxa"/>
            <w:vAlign w:val="top"/>
          </w:tcPr>
          <w:p w14:paraId="021248D0">
            <w:pPr>
              <w:spacing w:before="136" w:line="284" w:lineRule="auto"/>
              <w:ind w:left="123" w:right="104" w:firstLine="7"/>
              <w:rPr>
                <w:rFonts w:ascii="楷体" w:hAnsi="楷体" w:eastAsia="楷体" w:cs="楷体"/>
                <w:sz w:val="18"/>
                <w:szCs w:val="18"/>
              </w:rPr>
            </w:pPr>
            <w:r>
              <w:rPr>
                <w:rFonts w:ascii="楷体" w:hAnsi="楷体" w:eastAsia="楷体" w:cs="楷体"/>
                <w:spacing w:val="-2"/>
                <w:sz w:val="18"/>
                <w:szCs w:val="18"/>
              </w:rPr>
              <w:t>四川省马尔康市果尔</w:t>
            </w:r>
            <w:r>
              <w:rPr>
                <w:rFonts w:ascii="楷体" w:hAnsi="楷体" w:eastAsia="楷体" w:cs="楷体"/>
                <w:spacing w:val="-1"/>
                <w:sz w:val="18"/>
                <w:szCs w:val="18"/>
              </w:rPr>
              <w:t>巫饰面用花岗岩普查</w:t>
            </w:r>
          </w:p>
        </w:tc>
        <w:tc>
          <w:tcPr>
            <w:tcW w:w="983" w:type="dxa"/>
            <w:vAlign w:val="top"/>
          </w:tcPr>
          <w:p w14:paraId="09415F12">
            <w:pPr>
              <w:spacing w:before="136" w:line="286" w:lineRule="auto"/>
              <w:ind w:left="344" w:right="122" w:hanging="208"/>
              <w:rPr>
                <w:rFonts w:ascii="楷体" w:hAnsi="楷体" w:eastAsia="楷体" w:cs="楷体"/>
                <w:sz w:val="18"/>
                <w:szCs w:val="18"/>
              </w:rPr>
            </w:pPr>
            <w:r>
              <w:rPr>
                <w:rFonts w:ascii="楷体" w:hAnsi="楷体" w:eastAsia="楷体" w:cs="楷体"/>
                <w:spacing w:val="-1"/>
                <w:sz w:val="18"/>
                <w:szCs w:val="18"/>
              </w:rPr>
              <w:t>饰面用花</w:t>
            </w:r>
            <w:r>
              <w:rPr>
                <w:rFonts w:ascii="楷体" w:hAnsi="楷体" w:eastAsia="楷体" w:cs="楷体"/>
                <w:spacing w:val="-15"/>
                <w:sz w:val="18"/>
                <w:szCs w:val="18"/>
              </w:rPr>
              <w:t>岗岩</w:t>
            </w:r>
          </w:p>
        </w:tc>
        <w:tc>
          <w:tcPr>
            <w:tcW w:w="1127" w:type="dxa"/>
            <w:vAlign w:val="top"/>
          </w:tcPr>
          <w:p w14:paraId="5C5C0383">
            <w:pPr>
              <w:spacing w:before="276" w:line="241" w:lineRule="auto"/>
              <w:ind w:left="404"/>
              <w:rPr>
                <w:rFonts w:ascii="楷体" w:hAnsi="楷体" w:eastAsia="楷体" w:cs="楷体"/>
                <w:sz w:val="18"/>
                <w:szCs w:val="18"/>
              </w:rPr>
            </w:pPr>
            <w:r>
              <w:rPr>
                <w:rFonts w:ascii="楷体" w:hAnsi="楷体" w:eastAsia="楷体" w:cs="楷体"/>
                <w:spacing w:val="-4"/>
                <w:sz w:val="18"/>
                <w:szCs w:val="18"/>
              </w:rPr>
              <w:t>1.55</w:t>
            </w:r>
          </w:p>
        </w:tc>
        <w:tc>
          <w:tcPr>
            <w:tcW w:w="4543" w:type="dxa"/>
            <w:vAlign w:val="top"/>
          </w:tcPr>
          <w:p w14:paraId="4EE49469">
            <w:pPr>
              <w:rPr>
                <w:rFonts w:ascii="Arial"/>
                <w:sz w:val="21"/>
              </w:rPr>
            </w:pPr>
          </w:p>
        </w:tc>
        <w:tc>
          <w:tcPr>
            <w:tcW w:w="1118" w:type="dxa"/>
            <w:vAlign w:val="top"/>
          </w:tcPr>
          <w:p w14:paraId="376078D1">
            <w:pPr>
              <w:spacing w:before="275" w:line="220" w:lineRule="auto"/>
              <w:ind w:left="386"/>
              <w:rPr>
                <w:rFonts w:ascii="楷体" w:hAnsi="楷体" w:eastAsia="楷体" w:cs="楷体"/>
                <w:sz w:val="18"/>
                <w:szCs w:val="18"/>
              </w:rPr>
            </w:pPr>
            <w:r>
              <w:rPr>
                <w:rFonts w:ascii="楷体" w:hAnsi="楷体" w:eastAsia="楷体" w:cs="楷体"/>
                <w:sz w:val="18"/>
                <w:szCs w:val="18"/>
              </w:rPr>
              <w:t>普查</w:t>
            </w:r>
          </w:p>
        </w:tc>
        <w:tc>
          <w:tcPr>
            <w:tcW w:w="1497" w:type="dxa"/>
            <w:vAlign w:val="top"/>
          </w:tcPr>
          <w:p w14:paraId="7B5C8D20">
            <w:pPr>
              <w:spacing w:before="275" w:line="220" w:lineRule="auto"/>
              <w:ind w:left="578"/>
              <w:rPr>
                <w:rFonts w:ascii="楷体" w:hAnsi="楷体" w:eastAsia="楷体" w:cs="楷体"/>
                <w:sz w:val="18"/>
                <w:szCs w:val="18"/>
              </w:rPr>
            </w:pPr>
            <w:r>
              <w:rPr>
                <w:rFonts w:ascii="楷体" w:hAnsi="楷体" w:eastAsia="楷体" w:cs="楷体"/>
                <w:spacing w:val="-1"/>
                <w:sz w:val="18"/>
                <w:szCs w:val="18"/>
              </w:rPr>
              <w:t>普查</w:t>
            </w:r>
          </w:p>
        </w:tc>
        <w:tc>
          <w:tcPr>
            <w:tcW w:w="734" w:type="dxa"/>
            <w:vAlign w:val="top"/>
          </w:tcPr>
          <w:p w14:paraId="5A3B6AF9">
            <w:pPr>
              <w:spacing w:before="275" w:line="239" w:lineRule="auto"/>
              <w:ind w:left="205"/>
              <w:rPr>
                <w:rFonts w:ascii="楷体" w:hAnsi="楷体" w:eastAsia="楷体" w:cs="楷体"/>
                <w:sz w:val="18"/>
                <w:szCs w:val="18"/>
              </w:rPr>
            </w:pPr>
            <w:r>
              <w:rPr>
                <w:rFonts w:ascii="楷体" w:hAnsi="楷体" w:eastAsia="楷体" w:cs="楷体"/>
                <w:spacing w:val="-3"/>
                <w:sz w:val="18"/>
                <w:szCs w:val="18"/>
              </w:rPr>
              <w:t>2022</w:t>
            </w:r>
          </w:p>
        </w:tc>
        <w:tc>
          <w:tcPr>
            <w:tcW w:w="911" w:type="dxa"/>
            <w:vAlign w:val="top"/>
          </w:tcPr>
          <w:p w14:paraId="73CB6B7B">
            <w:pPr>
              <w:rPr>
                <w:rFonts w:ascii="Arial"/>
                <w:sz w:val="21"/>
              </w:rPr>
            </w:pPr>
          </w:p>
        </w:tc>
      </w:tr>
    </w:tbl>
    <w:p w14:paraId="1419862B">
      <w:pPr>
        <w:spacing w:before="131" w:line="220" w:lineRule="auto"/>
        <w:ind w:left="486"/>
        <w:rPr>
          <w:rFonts w:ascii="仿宋" w:hAnsi="仿宋" w:eastAsia="仿宋" w:cs="仿宋"/>
          <w:sz w:val="18"/>
          <w:szCs w:val="18"/>
        </w:rPr>
      </w:pPr>
      <w:r>
        <w:rPr>
          <w:rFonts w:ascii="仿宋" w:hAnsi="仿宋" w:eastAsia="仿宋" w:cs="仿宋"/>
          <w:spacing w:val="-1"/>
          <w:sz w:val="18"/>
          <w:szCs w:val="18"/>
        </w:rPr>
        <w:t>注：坐标拐点具体以数据库为准</w:t>
      </w:r>
    </w:p>
    <w:p w14:paraId="19D17E8B">
      <w:pPr>
        <w:spacing w:line="220" w:lineRule="auto"/>
        <w:rPr>
          <w:rFonts w:ascii="仿宋" w:hAnsi="仿宋" w:eastAsia="仿宋" w:cs="仿宋"/>
          <w:sz w:val="18"/>
          <w:szCs w:val="18"/>
        </w:rPr>
        <w:sectPr>
          <w:footerReference r:id="rId55" w:type="default"/>
          <w:pgSz w:w="16835" w:h="11904"/>
          <w:pgMar w:top="1011" w:right="1329" w:bottom="1287" w:left="1324" w:header="0" w:footer="920" w:gutter="0"/>
          <w:cols w:space="720" w:num="1"/>
        </w:sectPr>
      </w:pPr>
    </w:p>
    <w:p w14:paraId="7198F0AD">
      <w:pPr>
        <w:pStyle w:val="2"/>
        <w:spacing w:line="450" w:lineRule="auto"/>
      </w:pPr>
    </w:p>
    <w:p w14:paraId="20059F14">
      <w:pPr>
        <w:pStyle w:val="2"/>
        <w:spacing w:before="101" w:line="225" w:lineRule="auto"/>
        <w:ind w:left="783"/>
        <w:outlineLvl w:val="0"/>
        <w:rPr>
          <w:rFonts w:ascii="黑体" w:hAnsi="黑体" w:eastAsia="黑体" w:cs="黑体"/>
          <w:sz w:val="31"/>
          <w:szCs w:val="31"/>
        </w:rPr>
      </w:pPr>
      <w:r>
        <w:rPr>
          <w:rFonts w:ascii="黑体" w:hAnsi="黑体" w:eastAsia="黑体" w:cs="黑体"/>
          <w:spacing w:val="5"/>
          <w:sz w:val="31"/>
          <w:szCs w:val="31"/>
        </w:rPr>
        <w:t>附表</w:t>
      </w:r>
      <w:r>
        <w:rPr>
          <w:rFonts w:ascii="黑体" w:hAnsi="黑体" w:eastAsia="黑体" w:cs="黑体"/>
          <w:spacing w:val="-39"/>
          <w:sz w:val="31"/>
          <w:szCs w:val="31"/>
        </w:rPr>
        <w:t xml:space="preserve"> </w:t>
      </w:r>
      <w:r>
        <w:rPr>
          <w:spacing w:val="5"/>
          <w:sz w:val="31"/>
          <w:szCs w:val="31"/>
        </w:rPr>
        <w:t>6</w:t>
      </w:r>
      <w:r>
        <w:rPr>
          <w:spacing w:val="1"/>
          <w:sz w:val="31"/>
          <w:szCs w:val="31"/>
        </w:rPr>
        <w:t xml:space="preserve">    </w:t>
      </w:r>
      <w:r>
        <w:rPr>
          <w:rFonts w:ascii="黑体" w:hAnsi="黑体" w:eastAsia="黑体" w:cs="黑体"/>
          <w:spacing w:val="5"/>
          <w:sz w:val="31"/>
          <w:szCs w:val="31"/>
        </w:rPr>
        <w:t>阿坝州矿产资源重点开采区表</w:t>
      </w:r>
    </w:p>
    <w:p w14:paraId="2251D500">
      <w:pPr>
        <w:spacing w:line="120" w:lineRule="exact"/>
      </w:pPr>
    </w:p>
    <w:tbl>
      <w:tblPr>
        <w:tblStyle w:val="5"/>
        <w:tblW w:w="141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10"/>
        <w:gridCol w:w="1166"/>
        <w:gridCol w:w="1070"/>
        <w:gridCol w:w="911"/>
        <w:gridCol w:w="2854"/>
        <w:gridCol w:w="935"/>
        <w:gridCol w:w="1166"/>
        <w:gridCol w:w="1031"/>
        <w:gridCol w:w="1343"/>
        <w:gridCol w:w="1420"/>
        <w:gridCol w:w="921"/>
      </w:tblGrid>
      <w:tr w14:paraId="25F79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48" w:type="dxa"/>
            <w:textDirection w:val="tbRlV"/>
            <w:vAlign w:val="top"/>
          </w:tcPr>
          <w:p w14:paraId="1E9E25A4">
            <w:pPr>
              <w:spacing w:before="173" w:line="210" w:lineRule="auto"/>
              <w:ind w:left="149"/>
              <w:rPr>
                <w:rFonts w:ascii="黑体" w:hAnsi="黑体" w:eastAsia="黑体" w:cs="黑体"/>
                <w:sz w:val="28"/>
                <w:szCs w:val="28"/>
              </w:rPr>
            </w:pPr>
            <w:r>
              <w:rPr>
                <w:rFonts w:ascii="黑体" w:hAnsi="黑体" w:eastAsia="黑体" w:cs="黑体"/>
                <w:spacing w:val="7"/>
                <w:sz w:val="28"/>
                <w:szCs w:val="28"/>
              </w:rPr>
              <w:t>序</w:t>
            </w:r>
            <w:r>
              <w:rPr>
                <w:rFonts w:ascii="黑体" w:hAnsi="黑体" w:eastAsia="黑体" w:cs="黑体"/>
                <w:spacing w:val="28"/>
                <w:sz w:val="28"/>
                <w:szCs w:val="28"/>
              </w:rPr>
              <w:t xml:space="preserve">  </w:t>
            </w:r>
            <w:r>
              <w:rPr>
                <w:rFonts w:ascii="黑体" w:hAnsi="黑体" w:eastAsia="黑体" w:cs="黑体"/>
                <w:spacing w:val="7"/>
                <w:sz w:val="28"/>
                <w:szCs w:val="28"/>
              </w:rPr>
              <w:t>号</w:t>
            </w:r>
          </w:p>
        </w:tc>
        <w:tc>
          <w:tcPr>
            <w:tcW w:w="710" w:type="dxa"/>
            <w:textDirection w:val="tbRlV"/>
            <w:vAlign w:val="top"/>
          </w:tcPr>
          <w:p w14:paraId="2802D943">
            <w:pPr>
              <w:spacing w:before="205" w:line="210" w:lineRule="auto"/>
              <w:ind w:left="149"/>
              <w:rPr>
                <w:rFonts w:ascii="黑体" w:hAnsi="黑体" w:eastAsia="黑体" w:cs="黑体"/>
                <w:sz w:val="28"/>
                <w:szCs w:val="28"/>
              </w:rPr>
            </w:pPr>
            <w:r>
              <w:rPr>
                <w:rFonts w:ascii="黑体" w:hAnsi="黑体" w:eastAsia="黑体" w:cs="黑体"/>
                <w:spacing w:val="7"/>
                <w:sz w:val="28"/>
                <w:szCs w:val="28"/>
              </w:rPr>
              <w:t>编</w:t>
            </w:r>
            <w:r>
              <w:rPr>
                <w:rFonts w:ascii="黑体" w:hAnsi="黑体" w:eastAsia="黑体" w:cs="黑体"/>
                <w:spacing w:val="28"/>
                <w:sz w:val="28"/>
                <w:szCs w:val="28"/>
              </w:rPr>
              <w:t xml:space="preserve">  </w:t>
            </w:r>
            <w:r>
              <w:rPr>
                <w:rFonts w:ascii="黑体" w:hAnsi="黑体" w:eastAsia="黑体" w:cs="黑体"/>
                <w:spacing w:val="7"/>
                <w:sz w:val="28"/>
                <w:szCs w:val="28"/>
              </w:rPr>
              <w:t>号</w:t>
            </w:r>
          </w:p>
        </w:tc>
        <w:tc>
          <w:tcPr>
            <w:tcW w:w="1166" w:type="dxa"/>
            <w:vAlign w:val="top"/>
          </w:tcPr>
          <w:p w14:paraId="5DD10FC3">
            <w:pPr>
              <w:spacing w:line="367" w:lineRule="auto"/>
              <w:rPr>
                <w:rFonts w:ascii="Arial"/>
                <w:sz w:val="21"/>
              </w:rPr>
            </w:pPr>
          </w:p>
          <w:p w14:paraId="4FD080F3">
            <w:pPr>
              <w:spacing w:before="91" w:line="224" w:lineRule="auto"/>
              <w:ind w:left="320"/>
              <w:rPr>
                <w:rFonts w:ascii="黑体" w:hAnsi="黑体" w:eastAsia="黑体" w:cs="黑体"/>
                <w:sz w:val="28"/>
                <w:szCs w:val="28"/>
              </w:rPr>
            </w:pPr>
            <w:r>
              <w:rPr>
                <w:rFonts w:ascii="黑体" w:hAnsi="黑体" w:eastAsia="黑体" w:cs="黑体"/>
                <w:spacing w:val="-6"/>
                <w:sz w:val="28"/>
                <w:szCs w:val="28"/>
              </w:rPr>
              <w:t>名称</w:t>
            </w:r>
          </w:p>
        </w:tc>
        <w:tc>
          <w:tcPr>
            <w:tcW w:w="1070" w:type="dxa"/>
            <w:vAlign w:val="top"/>
          </w:tcPr>
          <w:p w14:paraId="267D0AC6">
            <w:pPr>
              <w:spacing w:before="149" w:line="361" w:lineRule="auto"/>
              <w:ind w:left="262" w:right="105" w:hanging="133"/>
              <w:rPr>
                <w:rFonts w:ascii="黑体" w:hAnsi="黑体" w:eastAsia="黑体" w:cs="黑体"/>
                <w:sz w:val="28"/>
                <w:szCs w:val="28"/>
              </w:rPr>
            </w:pPr>
            <w:r>
              <w:rPr>
                <w:rFonts w:ascii="黑体" w:hAnsi="黑体" w:eastAsia="黑体" w:cs="黑体"/>
                <w:spacing w:val="-4"/>
                <w:sz w:val="28"/>
                <w:szCs w:val="28"/>
              </w:rPr>
              <w:t>所在行</w:t>
            </w:r>
            <w:r>
              <w:rPr>
                <w:rFonts w:ascii="黑体" w:hAnsi="黑体" w:eastAsia="黑体" w:cs="黑体"/>
                <w:spacing w:val="-2"/>
                <w:sz w:val="28"/>
                <w:szCs w:val="28"/>
              </w:rPr>
              <w:t>政区</w:t>
            </w:r>
          </w:p>
        </w:tc>
        <w:tc>
          <w:tcPr>
            <w:tcW w:w="911" w:type="dxa"/>
            <w:vAlign w:val="top"/>
          </w:tcPr>
          <w:p w14:paraId="44270364">
            <w:pPr>
              <w:spacing w:before="149" w:line="358" w:lineRule="auto"/>
              <w:ind w:left="207" w:right="130" w:hanging="11"/>
              <w:rPr>
                <w:rFonts w:ascii="黑体" w:hAnsi="黑体" w:eastAsia="黑体" w:cs="黑体"/>
                <w:sz w:val="28"/>
                <w:szCs w:val="28"/>
              </w:rPr>
            </w:pPr>
            <w:r>
              <w:rPr>
                <w:rFonts w:ascii="黑体" w:hAnsi="黑体" w:eastAsia="黑体" w:cs="黑体"/>
                <w:spacing w:val="-7"/>
                <w:sz w:val="28"/>
                <w:szCs w:val="28"/>
              </w:rPr>
              <w:t>面积</w:t>
            </w:r>
            <w:r>
              <w:rPr>
                <w:rFonts w:ascii="黑体" w:hAnsi="黑体" w:eastAsia="黑体" w:cs="黑体"/>
                <w:spacing w:val="-15"/>
                <w:w w:val="95"/>
                <w:sz w:val="28"/>
                <w:szCs w:val="28"/>
              </w:rPr>
              <w:t>(Km</w:t>
            </w:r>
            <w:r>
              <w:rPr>
                <w:rFonts w:ascii="黑体" w:hAnsi="黑体" w:eastAsia="黑体" w:cs="黑体"/>
                <w:position w:val="1"/>
                <w:sz w:val="14"/>
                <w:szCs w:val="14"/>
              </w:rPr>
              <w:t>2</w:t>
            </w:r>
            <w:r>
              <w:rPr>
                <w:rFonts w:ascii="黑体" w:hAnsi="黑体" w:eastAsia="黑体" w:cs="黑体"/>
                <w:position w:val="1"/>
                <w:sz w:val="28"/>
                <w:szCs w:val="28"/>
              </w:rPr>
              <w:t>)</w:t>
            </w:r>
          </w:p>
        </w:tc>
        <w:tc>
          <w:tcPr>
            <w:tcW w:w="2854" w:type="dxa"/>
            <w:vAlign w:val="top"/>
          </w:tcPr>
          <w:p w14:paraId="48790930">
            <w:pPr>
              <w:spacing w:line="368" w:lineRule="auto"/>
              <w:rPr>
                <w:rFonts w:ascii="Arial"/>
                <w:sz w:val="21"/>
              </w:rPr>
            </w:pPr>
          </w:p>
          <w:p w14:paraId="4AFBAE09">
            <w:pPr>
              <w:spacing w:before="91" w:line="225" w:lineRule="auto"/>
              <w:ind w:left="887"/>
              <w:rPr>
                <w:rFonts w:ascii="黑体" w:hAnsi="黑体" w:eastAsia="黑体" w:cs="黑体"/>
                <w:sz w:val="28"/>
                <w:szCs w:val="28"/>
              </w:rPr>
            </w:pPr>
            <w:r>
              <w:rPr>
                <w:rFonts w:ascii="黑体" w:hAnsi="黑体" w:eastAsia="黑体" w:cs="黑体"/>
                <w:spacing w:val="-3"/>
                <w:sz w:val="28"/>
                <w:szCs w:val="28"/>
              </w:rPr>
              <w:t>拐点坐标</w:t>
            </w:r>
          </w:p>
        </w:tc>
        <w:tc>
          <w:tcPr>
            <w:tcW w:w="935" w:type="dxa"/>
            <w:vAlign w:val="top"/>
          </w:tcPr>
          <w:p w14:paraId="48B3CBFE">
            <w:pPr>
              <w:spacing w:before="150" w:line="224" w:lineRule="auto"/>
              <w:ind w:left="209"/>
              <w:rPr>
                <w:rFonts w:ascii="黑体" w:hAnsi="黑体" w:eastAsia="黑体" w:cs="黑体"/>
                <w:sz w:val="28"/>
                <w:szCs w:val="28"/>
              </w:rPr>
            </w:pPr>
            <w:r>
              <w:rPr>
                <w:rFonts w:ascii="黑体" w:hAnsi="黑体" w:eastAsia="黑体" w:cs="黑体"/>
                <w:spacing w:val="-7"/>
                <w:sz w:val="28"/>
                <w:szCs w:val="28"/>
              </w:rPr>
              <w:t>主要</w:t>
            </w:r>
          </w:p>
          <w:p w14:paraId="0C62C982">
            <w:pPr>
              <w:spacing w:before="283" w:line="223" w:lineRule="auto"/>
              <w:ind w:left="202"/>
              <w:rPr>
                <w:rFonts w:ascii="黑体" w:hAnsi="黑体" w:eastAsia="黑体" w:cs="黑体"/>
                <w:sz w:val="28"/>
                <w:szCs w:val="28"/>
              </w:rPr>
            </w:pPr>
            <w:r>
              <w:rPr>
                <w:rFonts w:ascii="黑体" w:hAnsi="黑体" w:eastAsia="黑体" w:cs="黑体"/>
                <w:spacing w:val="-3"/>
                <w:sz w:val="28"/>
                <w:szCs w:val="28"/>
              </w:rPr>
              <w:t>矿种</w:t>
            </w:r>
          </w:p>
        </w:tc>
        <w:tc>
          <w:tcPr>
            <w:tcW w:w="1166" w:type="dxa"/>
            <w:vAlign w:val="top"/>
          </w:tcPr>
          <w:p w14:paraId="28F45CC5">
            <w:pPr>
              <w:spacing w:before="149" w:line="361" w:lineRule="auto"/>
              <w:ind w:left="327" w:right="150" w:hanging="136"/>
              <w:rPr>
                <w:rFonts w:ascii="黑体" w:hAnsi="黑体" w:eastAsia="黑体" w:cs="黑体"/>
                <w:sz w:val="28"/>
                <w:szCs w:val="28"/>
              </w:rPr>
            </w:pPr>
            <w:r>
              <w:rPr>
                <w:rFonts w:ascii="黑体" w:hAnsi="黑体" w:eastAsia="黑体" w:cs="黑体"/>
                <w:spacing w:val="-8"/>
                <w:sz w:val="28"/>
                <w:szCs w:val="28"/>
              </w:rPr>
              <w:t>资源量单位</w:t>
            </w:r>
          </w:p>
        </w:tc>
        <w:tc>
          <w:tcPr>
            <w:tcW w:w="1031" w:type="dxa"/>
            <w:vAlign w:val="top"/>
          </w:tcPr>
          <w:p w14:paraId="5C10B098">
            <w:pPr>
              <w:spacing w:before="149" w:line="361" w:lineRule="auto"/>
              <w:ind w:left="396" w:right="221" w:hanging="132"/>
              <w:rPr>
                <w:rFonts w:ascii="黑体" w:hAnsi="黑体" w:eastAsia="黑体" w:cs="黑体"/>
                <w:sz w:val="28"/>
                <w:szCs w:val="28"/>
              </w:rPr>
            </w:pPr>
            <w:r>
              <w:rPr>
                <w:rFonts w:ascii="黑体" w:hAnsi="黑体" w:eastAsia="黑体" w:cs="黑体"/>
                <w:spacing w:val="-10"/>
                <w:sz w:val="28"/>
                <w:szCs w:val="28"/>
              </w:rPr>
              <w:t>资源</w:t>
            </w:r>
            <w:r>
              <w:rPr>
                <w:rFonts w:ascii="黑体" w:hAnsi="黑体" w:eastAsia="黑体" w:cs="黑体"/>
                <w:sz w:val="28"/>
                <w:szCs w:val="28"/>
              </w:rPr>
              <w:t>量</w:t>
            </w:r>
          </w:p>
        </w:tc>
        <w:tc>
          <w:tcPr>
            <w:tcW w:w="1343" w:type="dxa"/>
            <w:vAlign w:val="top"/>
          </w:tcPr>
          <w:p w14:paraId="12FA4123">
            <w:pPr>
              <w:spacing w:before="149" w:line="361" w:lineRule="auto"/>
              <w:ind w:left="266" w:right="95" w:hanging="119"/>
              <w:rPr>
                <w:rFonts w:ascii="黑体" w:hAnsi="黑体" w:eastAsia="黑体" w:cs="黑体"/>
                <w:sz w:val="28"/>
                <w:szCs w:val="28"/>
              </w:rPr>
            </w:pPr>
            <w:r>
              <w:rPr>
                <w:rFonts w:ascii="黑体" w:hAnsi="黑体" w:eastAsia="黑体" w:cs="黑体"/>
                <w:spacing w:val="-7"/>
                <w:sz w:val="28"/>
                <w:szCs w:val="28"/>
              </w:rPr>
              <w:t>已设采矿</w:t>
            </w:r>
            <w:r>
              <w:rPr>
                <w:rFonts w:ascii="黑体" w:hAnsi="黑体" w:eastAsia="黑体" w:cs="黑体"/>
                <w:spacing w:val="-2"/>
                <w:sz w:val="28"/>
                <w:szCs w:val="28"/>
              </w:rPr>
              <w:t>权数量</w:t>
            </w:r>
          </w:p>
        </w:tc>
        <w:tc>
          <w:tcPr>
            <w:tcW w:w="1420" w:type="dxa"/>
            <w:vAlign w:val="top"/>
          </w:tcPr>
          <w:p w14:paraId="72A02515">
            <w:pPr>
              <w:spacing w:before="149" w:line="361" w:lineRule="auto"/>
              <w:ind w:left="305" w:right="133" w:hanging="136"/>
              <w:rPr>
                <w:rFonts w:ascii="黑体" w:hAnsi="黑体" w:eastAsia="黑体" w:cs="黑体"/>
                <w:sz w:val="28"/>
                <w:szCs w:val="28"/>
              </w:rPr>
            </w:pPr>
            <w:r>
              <w:rPr>
                <w:rFonts w:ascii="黑体" w:hAnsi="黑体" w:eastAsia="黑体" w:cs="黑体"/>
                <w:spacing w:val="-3"/>
                <w:sz w:val="28"/>
                <w:szCs w:val="28"/>
              </w:rPr>
              <w:t>拟设采矿</w:t>
            </w:r>
            <w:r>
              <w:rPr>
                <w:rFonts w:ascii="黑体" w:hAnsi="黑体" w:eastAsia="黑体" w:cs="黑体"/>
                <w:spacing w:val="-2"/>
                <w:sz w:val="28"/>
                <w:szCs w:val="28"/>
              </w:rPr>
              <w:t>权数量</w:t>
            </w:r>
          </w:p>
        </w:tc>
        <w:tc>
          <w:tcPr>
            <w:tcW w:w="921" w:type="dxa"/>
            <w:vAlign w:val="top"/>
          </w:tcPr>
          <w:p w14:paraId="38CCB45C">
            <w:pPr>
              <w:spacing w:line="367" w:lineRule="auto"/>
              <w:rPr>
                <w:rFonts w:ascii="Arial"/>
                <w:sz w:val="21"/>
              </w:rPr>
            </w:pPr>
          </w:p>
          <w:p w14:paraId="7729D4E4">
            <w:pPr>
              <w:spacing w:before="91" w:line="224" w:lineRule="auto"/>
              <w:ind w:left="198"/>
              <w:rPr>
                <w:rFonts w:ascii="黑体" w:hAnsi="黑体" w:eastAsia="黑体" w:cs="黑体"/>
                <w:sz w:val="28"/>
                <w:szCs w:val="28"/>
              </w:rPr>
            </w:pPr>
            <w:r>
              <w:rPr>
                <w:rFonts w:ascii="黑体" w:hAnsi="黑体" w:eastAsia="黑体" w:cs="黑体"/>
                <w:spacing w:val="-4"/>
                <w:sz w:val="28"/>
                <w:szCs w:val="28"/>
              </w:rPr>
              <w:t>备注</w:t>
            </w:r>
          </w:p>
        </w:tc>
      </w:tr>
      <w:tr w14:paraId="1D2AE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648" w:type="dxa"/>
            <w:vAlign w:val="top"/>
          </w:tcPr>
          <w:p w14:paraId="7CD4164D">
            <w:pPr>
              <w:spacing w:line="279" w:lineRule="auto"/>
              <w:rPr>
                <w:rFonts w:ascii="Arial"/>
                <w:sz w:val="21"/>
              </w:rPr>
            </w:pPr>
          </w:p>
          <w:p w14:paraId="28B3F722">
            <w:pPr>
              <w:spacing w:before="59" w:line="238" w:lineRule="exact"/>
              <w:ind w:left="301"/>
              <w:rPr>
                <w:rFonts w:ascii="楷体" w:hAnsi="楷体" w:eastAsia="楷体" w:cs="楷体"/>
                <w:sz w:val="18"/>
                <w:szCs w:val="18"/>
              </w:rPr>
            </w:pPr>
            <w:r>
              <w:rPr>
                <w:rFonts w:ascii="楷体" w:hAnsi="楷体" w:eastAsia="楷体" w:cs="楷体"/>
                <w:position w:val="1"/>
                <w:sz w:val="18"/>
                <w:szCs w:val="18"/>
              </w:rPr>
              <w:t>1</w:t>
            </w:r>
          </w:p>
        </w:tc>
        <w:tc>
          <w:tcPr>
            <w:tcW w:w="710" w:type="dxa"/>
            <w:vAlign w:val="top"/>
          </w:tcPr>
          <w:p w14:paraId="7E89ED80">
            <w:pPr>
              <w:spacing w:line="279" w:lineRule="auto"/>
              <w:rPr>
                <w:rFonts w:ascii="Arial"/>
                <w:sz w:val="21"/>
              </w:rPr>
            </w:pPr>
          </w:p>
          <w:p w14:paraId="3767DF49">
            <w:pPr>
              <w:spacing w:before="59" w:line="239" w:lineRule="auto"/>
              <w:ind w:left="142"/>
              <w:rPr>
                <w:rFonts w:ascii="楷体" w:hAnsi="楷体" w:eastAsia="楷体" w:cs="楷体"/>
                <w:sz w:val="18"/>
                <w:szCs w:val="18"/>
              </w:rPr>
            </w:pPr>
            <w:r>
              <w:rPr>
                <w:rFonts w:ascii="楷体" w:hAnsi="楷体" w:eastAsia="楷体" w:cs="楷体"/>
                <w:spacing w:val="-2"/>
                <w:sz w:val="18"/>
                <w:szCs w:val="18"/>
              </w:rPr>
              <w:t>ZK001</w:t>
            </w:r>
          </w:p>
        </w:tc>
        <w:tc>
          <w:tcPr>
            <w:tcW w:w="1166" w:type="dxa"/>
            <w:vAlign w:val="top"/>
          </w:tcPr>
          <w:p w14:paraId="07E49FC1">
            <w:pPr>
              <w:spacing w:before="62" w:line="222" w:lineRule="auto"/>
              <w:ind w:left="154"/>
              <w:rPr>
                <w:rFonts w:ascii="楷体" w:hAnsi="楷体" w:eastAsia="楷体" w:cs="楷体"/>
                <w:sz w:val="18"/>
                <w:szCs w:val="18"/>
              </w:rPr>
            </w:pPr>
            <w:r>
              <w:rPr>
                <w:rFonts w:ascii="楷体" w:hAnsi="楷体" w:eastAsia="楷体" w:cs="楷体"/>
                <w:spacing w:val="-4"/>
                <w:sz w:val="18"/>
                <w:szCs w:val="18"/>
              </w:rPr>
              <w:t>阿坝州马尔</w:t>
            </w:r>
          </w:p>
          <w:p w14:paraId="176043A2">
            <w:pPr>
              <w:spacing w:before="62" w:line="252" w:lineRule="auto"/>
              <w:ind w:left="255" w:right="167" w:hanging="73"/>
              <w:rPr>
                <w:rFonts w:ascii="楷体" w:hAnsi="楷体" w:eastAsia="楷体" w:cs="楷体"/>
                <w:sz w:val="18"/>
                <w:szCs w:val="18"/>
              </w:rPr>
            </w:pPr>
            <w:r>
              <w:rPr>
                <w:rFonts w:ascii="楷体" w:hAnsi="楷体" w:eastAsia="楷体" w:cs="楷体"/>
                <w:sz w:val="18"/>
                <w:szCs w:val="18"/>
              </w:rPr>
              <w:t>康-金川可</w:t>
            </w:r>
            <w:r>
              <w:rPr>
                <w:rFonts w:ascii="楷体" w:hAnsi="楷体" w:eastAsia="楷体" w:cs="楷体"/>
                <w:spacing w:val="-8"/>
                <w:sz w:val="18"/>
                <w:szCs w:val="18"/>
              </w:rPr>
              <w:t>尔因锂矿</w:t>
            </w:r>
          </w:p>
        </w:tc>
        <w:tc>
          <w:tcPr>
            <w:tcW w:w="1070" w:type="dxa"/>
            <w:vAlign w:val="top"/>
          </w:tcPr>
          <w:p w14:paraId="38AF2CE2">
            <w:pPr>
              <w:spacing w:line="279" w:lineRule="auto"/>
              <w:rPr>
                <w:rFonts w:ascii="Arial"/>
                <w:sz w:val="21"/>
              </w:rPr>
            </w:pPr>
          </w:p>
          <w:p w14:paraId="775A1C03">
            <w:pPr>
              <w:spacing w:before="59" w:line="226" w:lineRule="auto"/>
              <w:ind w:left="288"/>
              <w:rPr>
                <w:rFonts w:ascii="楷体" w:hAnsi="楷体" w:eastAsia="楷体" w:cs="楷体"/>
                <w:sz w:val="18"/>
                <w:szCs w:val="18"/>
              </w:rPr>
            </w:pPr>
            <w:r>
              <w:rPr>
                <w:rFonts w:ascii="楷体" w:hAnsi="楷体" w:eastAsia="楷体" w:cs="楷体"/>
                <w:spacing w:val="-6"/>
                <w:sz w:val="18"/>
                <w:szCs w:val="18"/>
              </w:rPr>
              <w:t>阿坝州</w:t>
            </w:r>
          </w:p>
        </w:tc>
        <w:tc>
          <w:tcPr>
            <w:tcW w:w="911" w:type="dxa"/>
            <w:vAlign w:val="top"/>
          </w:tcPr>
          <w:p w14:paraId="17C5042B">
            <w:pPr>
              <w:spacing w:line="279" w:lineRule="auto"/>
              <w:rPr>
                <w:rFonts w:ascii="Arial"/>
                <w:sz w:val="21"/>
              </w:rPr>
            </w:pPr>
          </w:p>
          <w:p w14:paraId="6065B5CF">
            <w:pPr>
              <w:spacing w:before="59" w:line="242" w:lineRule="auto"/>
              <w:ind w:left="208"/>
              <w:rPr>
                <w:rFonts w:ascii="楷体" w:hAnsi="楷体" w:eastAsia="楷体" w:cs="楷体"/>
                <w:sz w:val="18"/>
                <w:szCs w:val="18"/>
              </w:rPr>
            </w:pPr>
            <w:r>
              <w:rPr>
                <w:rFonts w:ascii="楷体" w:hAnsi="楷体" w:eastAsia="楷体" w:cs="楷体"/>
                <w:spacing w:val="-4"/>
                <w:sz w:val="18"/>
                <w:szCs w:val="18"/>
              </w:rPr>
              <w:t>399.97</w:t>
            </w:r>
          </w:p>
        </w:tc>
        <w:tc>
          <w:tcPr>
            <w:tcW w:w="2854" w:type="dxa"/>
            <w:vAlign w:val="top"/>
          </w:tcPr>
          <w:p w14:paraId="3341419A">
            <w:pPr>
              <w:rPr>
                <w:rFonts w:ascii="Arial"/>
                <w:sz w:val="21"/>
              </w:rPr>
            </w:pPr>
          </w:p>
        </w:tc>
        <w:tc>
          <w:tcPr>
            <w:tcW w:w="935" w:type="dxa"/>
            <w:vAlign w:val="top"/>
          </w:tcPr>
          <w:p w14:paraId="769E9CED">
            <w:pPr>
              <w:spacing w:line="279" w:lineRule="auto"/>
              <w:rPr>
                <w:rFonts w:ascii="Arial"/>
                <w:sz w:val="21"/>
              </w:rPr>
            </w:pPr>
          </w:p>
          <w:p w14:paraId="146B8540">
            <w:pPr>
              <w:spacing w:before="58" w:line="230" w:lineRule="auto"/>
              <w:ind w:left="297"/>
              <w:rPr>
                <w:rFonts w:ascii="楷体" w:hAnsi="楷体" w:eastAsia="楷体" w:cs="楷体"/>
                <w:sz w:val="18"/>
                <w:szCs w:val="18"/>
              </w:rPr>
            </w:pPr>
            <w:r>
              <w:rPr>
                <w:rFonts w:ascii="楷体" w:hAnsi="楷体" w:eastAsia="楷体" w:cs="楷体"/>
                <w:sz w:val="18"/>
                <w:szCs w:val="18"/>
              </w:rPr>
              <w:t>锂矿</w:t>
            </w:r>
          </w:p>
        </w:tc>
        <w:tc>
          <w:tcPr>
            <w:tcW w:w="1166" w:type="dxa"/>
            <w:vAlign w:val="top"/>
          </w:tcPr>
          <w:p w14:paraId="49DFEFEB">
            <w:pPr>
              <w:spacing w:line="280" w:lineRule="auto"/>
              <w:rPr>
                <w:rFonts w:ascii="Arial"/>
                <w:sz w:val="21"/>
              </w:rPr>
            </w:pPr>
          </w:p>
          <w:p w14:paraId="35546B78">
            <w:pPr>
              <w:spacing w:before="58" w:line="230" w:lineRule="auto"/>
              <w:ind w:left="218"/>
              <w:rPr>
                <w:rFonts w:ascii="楷体" w:hAnsi="楷体" w:eastAsia="楷体" w:cs="楷体"/>
                <w:sz w:val="18"/>
                <w:szCs w:val="18"/>
              </w:rPr>
            </w:pPr>
            <w:r>
              <w:rPr>
                <w:rFonts w:ascii="楷体" w:hAnsi="楷体" w:eastAsia="楷体" w:cs="楷体"/>
                <w:spacing w:val="-2"/>
                <w:sz w:val="18"/>
                <w:szCs w:val="18"/>
              </w:rPr>
              <w:t>万吨 Li</w:t>
            </w:r>
            <w:r>
              <w:rPr>
                <w:rFonts w:ascii="楷体" w:hAnsi="楷体" w:eastAsia="楷体" w:cs="楷体"/>
                <w:spacing w:val="-2"/>
                <w:position w:val="-1"/>
                <w:sz w:val="9"/>
                <w:szCs w:val="9"/>
              </w:rPr>
              <w:t>2</w:t>
            </w:r>
            <w:r>
              <w:rPr>
                <w:rFonts w:ascii="楷体" w:hAnsi="楷体" w:eastAsia="楷体" w:cs="楷体"/>
                <w:spacing w:val="-2"/>
                <w:sz w:val="18"/>
                <w:szCs w:val="18"/>
              </w:rPr>
              <w:t>O</w:t>
            </w:r>
          </w:p>
        </w:tc>
        <w:tc>
          <w:tcPr>
            <w:tcW w:w="1031" w:type="dxa"/>
            <w:vAlign w:val="top"/>
          </w:tcPr>
          <w:p w14:paraId="662FBF07">
            <w:pPr>
              <w:spacing w:line="279" w:lineRule="auto"/>
              <w:rPr>
                <w:rFonts w:ascii="Arial"/>
                <w:sz w:val="21"/>
              </w:rPr>
            </w:pPr>
          </w:p>
          <w:p w14:paraId="632EA390">
            <w:pPr>
              <w:spacing w:before="59" w:line="239" w:lineRule="auto"/>
              <w:ind w:left="271"/>
              <w:rPr>
                <w:rFonts w:ascii="楷体" w:hAnsi="楷体" w:eastAsia="楷体" w:cs="楷体"/>
                <w:sz w:val="18"/>
                <w:szCs w:val="18"/>
              </w:rPr>
            </w:pPr>
            <w:r>
              <w:rPr>
                <w:rFonts w:ascii="楷体" w:hAnsi="楷体" w:eastAsia="楷体" w:cs="楷体"/>
                <w:spacing w:val="-3"/>
                <w:sz w:val="18"/>
                <w:szCs w:val="18"/>
              </w:rPr>
              <w:t>152.20</w:t>
            </w:r>
          </w:p>
        </w:tc>
        <w:tc>
          <w:tcPr>
            <w:tcW w:w="1343" w:type="dxa"/>
            <w:vAlign w:val="top"/>
          </w:tcPr>
          <w:p w14:paraId="5D1E94D5">
            <w:pPr>
              <w:spacing w:line="279" w:lineRule="auto"/>
              <w:rPr>
                <w:rFonts w:ascii="Arial"/>
                <w:sz w:val="21"/>
              </w:rPr>
            </w:pPr>
          </w:p>
          <w:p w14:paraId="75B43BCB">
            <w:pPr>
              <w:spacing w:before="59" w:line="242" w:lineRule="auto"/>
              <w:ind w:left="653"/>
              <w:rPr>
                <w:rFonts w:ascii="楷体" w:hAnsi="楷体" w:eastAsia="楷体" w:cs="楷体"/>
                <w:sz w:val="18"/>
                <w:szCs w:val="18"/>
              </w:rPr>
            </w:pPr>
            <w:r>
              <w:rPr>
                <w:rFonts w:ascii="楷体" w:hAnsi="楷体" w:eastAsia="楷体" w:cs="楷体"/>
                <w:sz w:val="18"/>
                <w:szCs w:val="18"/>
              </w:rPr>
              <w:t>3</w:t>
            </w:r>
          </w:p>
        </w:tc>
        <w:tc>
          <w:tcPr>
            <w:tcW w:w="1420" w:type="dxa"/>
            <w:vAlign w:val="top"/>
          </w:tcPr>
          <w:p w14:paraId="5FF5BACF">
            <w:pPr>
              <w:spacing w:line="279" w:lineRule="auto"/>
              <w:rPr>
                <w:rFonts w:ascii="Arial"/>
                <w:sz w:val="21"/>
              </w:rPr>
            </w:pPr>
          </w:p>
          <w:p w14:paraId="049E2FFC">
            <w:pPr>
              <w:spacing w:before="59" w:line="239" w:lineRule="auto"/>
              <w:ind w:left="691"/>
              <w:rPr>
                <w:rFonts w:ascii="楷体" w:hAnsi="楷体" w:eastAsia="楷体" w:cs="楷体"/>
                <w:sz w:val="18"/>
                <w:szCs w:val="18"/>
              </w:rPr>
            </w:pPr>
            <w:r>
              <w:rPr>
                <w:rFonts w:ascii="楷体" w:hAnsi="楷体" w:eastAsia="楷体" w:cs="楷体"/>
                <w:sz w:val="18"/>
                <w:szCs w:val="18"/>
              </w:rPr>
              <w:t>0</w:t>
            </w:r>
          </w:p>
        </w:tc>
        <w:tc>
          <w:tcPr>
            <w:tcW w:w="921" w:type="dxa"/>
            <w:vAlign w:val="top"/>
          </w:tcPr>
          <w:p w14:paraId="2065A164">
            <w:pPr>
              <w:rPr>
                <w:rFonts w:ascii="Arial"/>
                <w:sz w:val="21"/>
              </w:rPr>
            </w:pPr>
          </w:p>
        </w:tc>
      </w:tr>
      <w:tr w14:paraId="641F7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48" w:type="dxa"/>
            <w:vAlign w:val="top"/>
          </w:tcPr>
          <w:p w14:paraId="5F431964">
            <w:pPr>
              <w:rPr>
                <w:rFonts w:ascii="Arial"/>
                <w:sz w:val="21"/>
              </w:rPr>
            </w:pPr>
          </w:p>
        </w:tc>
        <w:tc>
          <w:tcPr>
            <w:tcW w:w="710" w:type="dxa"/>
            <w:vAlign w:val="top"/>
          </w:tcPr>
          <w:p w14:paraId="422F0796">
            <w:pPr>
              <w:rPr>
                <w:rFonts w:ascii="Arial"/>
                <w:sz w:val="21"/>
              </w:rPr>
            </w:pPr>
          </w:p>
        </w:tc>
        <w:tc>
          <w:tcPr>
            <w:tcW w:w="1166" w:type="dxa"/>
            <w:vAlign w:val="top"/>
          </w:tcPr>
          <w:p w14:paraId="004A84A9">
            <w:pPr>
              <w:rPr>
                <w:rFonts w:ascii="Arial"/>
                <w:sz w:val="21"/>
              </w:rPr>
            </w:pPr>
          </w:p>
        </w:tc>
        <w:tc>
          <w:tcPr>
            <w:tcW w:w="1070" w:type="dxa"/>
            <w:vAlign w:val="top"/>
          </w:tcPr>
          <w:p w14:paraId="3EBC7FE2">
            <w:pPr>
              <w:rPr>
                <w:rFonts w:ascii="Arial"/>
                <w:sz w:val="21"/>
              </w:rPr>
            </w:pPr>
          </w:p>
        </w:tc>
        <w:tc>
          <w:tcPr>
            <w:tcW w:w="911" w:type="dxa"/>
            <w:vAlign w:val="top"/>
          </w:tcPr>
          <w:p w14:paraId="75716F5F">
            <w:pPr>
              <w:rPr>
                <w:rFonts w:ascii="Arial"/>
                <w:sz w:val="21"/>
              </w:rPr>
            </w:pPr>
          </w:p>
        </w:tc>
        <w:tc>
          <w:tcPr>
            <w:tcW w:w="2854" w:type="dxa"/>
            <w:vAlign w:val="top"/>
          </w:tcPr>
          <w:p w14:paraId="307DED64">
            <w:pPr>
              <w:rPr>
                <w:rFonts w:ascii="Arial"/>
                <w:sz w:val="21"/>
              </w:rPr>
            </w:pPr>
          </w:p>
        </w:tc>
        <w:tc>
          <w:tcPr>
            <w:tcW w:w="935" w:type="dxa"/>
            <w:vAlign w:val="top"/>
          </w:tcPr>
          <w:p w14:paraId="79E97CDD">
            <w:pPr>
              <w:rPr>
                <w:rFonts w:ascii="Arial"/>
                <w:sz w:val="21"/>
              </w:rPr>
            </w:pPr>
          </w:p>
        </w:tc>
        <w:tc>
          <w:tcPr>
            <w:tcW w:w="1166" w:type="dxa"/>
            <w:vAlign w:val="top"/>
          </w:tcPr>
          <w:p w14:paraId="6163539E">
            <w:pPr>
              <w:rPr>
                <w:rFonts w:ascii="Arial"/>
                <w:sz w:val="21"/>
              </w:rPr>
            </w:pPr>
          </w:p>
        </w:tc>
        <w:tc>
          <w:tcPr>
            <w:tcW w:w="1031" w:type="dxa"/>
            <w:vAlign w:val="top"/>
          </w:tcPr>
          <w:p w14:paraId="76596538">
            <w:pPr>
              <w:rPr>
                <w:rFonts w:ascii="Arial"/>
                <w:sz w:val="21"/>
              </w:rPr>
            </w:pPr>
          </w:p>
        </w:tc>
        <w:tc>
          <w:tcPr>
            <w:tcW w:w="1343" w:type="dxa"/>
            <w:vAlign w:val="top"/>
          </w:tcPr>
          <w:p w14:paraId="18178818">
            <w:pPr>
              <w:rPr>
                <w:rFonts w:ascii="Arial"/>
                <w:sz w:val="21"/>
              </w:rPr>
            </w:pPr>
          </w:p>
        </w:tc>
        <w:tc>
          <w:tcPr>
            <w:tcW w:w="1420" w:type="dxa"/>
            <w:vAlign w:val="top"/>
          </w:tcPr>
          <w:p w14:paraId="40C0E67A">
            <w:pPr>
              <w:rPr>
                <w:rFonts w:ascii="Arial"/>
                <w:sz w:val="21"/>
              </w:rPr>
            </w:pPr>
          </w:p>
        </w:tc>
        <w:tc>
          <w:tcPr>
            <w:tcW w:w="921" w:type="dxa"/>
            <w:vAlign w:val="top"/>
          </w:tcPr>
          <w:p w14:paraId="355756B4">
            <w:pPr>
              <w:rPr>
                <w:rFonts w:ascii="Arial"/>
                <w:sz w:val="21"/>
              </w:rPr>
            </w:pPr>
          </w:p>
        </w:tc>
      </w:tr>
    </w:tbl>
    <w:p w14:paraId="25D9BF5E">
      <w:pPr>
        <w:pStyle w:val="2"/>
      </w:pPr>
    </w:p>
    <w:p w14:paraId="6816CB11">
      <w:pPr>
        <w:sectPr>
          <w:footerReference r:id="rId56" w:type="default"/>
          <w:pgSz w:w="16835" w:h="11904"/>
          <w:pgMar w:top="1011" w:right="969" w:bottom="1287" w:left="1684" w:header="0" w:footer="920" w:gutter="0"/>
          <w:cols w:space="720" w:num="1"/>
        </w:sectPr>
      </w:pPr>
    </w:p>
    <w:p w14:paraId="59F43CC4">
      <w:pPr>
        <w:pStyle w:val="2"/>
        <w:spacing w:line="454" w:lineRule="auto"/>
      </w:pPr>
    </w:p>
    <w:p w14:paraId="2C5FD024">
      <w:pPr>
        <w:pStyle w:val="2"/>
        <w:spacing w:before="101" w:line="226" w:lineRule="auto"/>
        <w:ind w:left="1714"/>
        <w:outlineLvl w:val="0"/>
        <w:rPr>
          <w:rFonts w:ascii="黑体" w:hAnsi="黑体" w:eastAsia="黑体" w:cs="黑体"/>
          <w:sz w:val="31"/>
          <w:szCs w:val="31"/>
        </w:rPr>
      </w:pPr>
      <w:r>
        <w:rPr>
          <w:rFonts w:ascii="黑体" w:hAnsi="黑体" w:eastAsia="黑体" w:cs="黑体"/>
          <w:spacing w:val="4"/>
          <w:sz w:val="31"/>
          <w:szCs w:val="31"/>
        </w:rPr>
        <w:t>附表</w:t>
      </w:r>
      <w:r>
        <w:rPr>
          <w:rFonts w:ascii="黑体" w:hAnsi="黑体" w:eastAsia="黑体" w:cs="黑体"/>
          <w:spacing w:val="-41"/>
          <w:sz w:val="31"/>
          <w:szCs w:val="31"/>
        </w:rPr>
        <w:t xml:space="preserve"> </w:t>
      </w:r>
      <w:r>
        <w:rPr>
          <w:spacing w:val="4"/>
          <w:sz w:val="31"/>
          <w:szCs w:val="31"/>
        </w:rPr>
        <w:t>7</w:t>
      </w:r>
      <w:r>
        <w:rPr>
          <w:spacing w:val="1"/>
          <w:sz w:val="31"/>
          <w:szCs w:val="31"/>
        </w:rPr>
        <w:t xml:space="preserve">    </w:t>
      </w:r>
      <w:r>
        <w:rPr>
          <w:rFonts w:ascii="黑体" w:hAnsi="黑体" w:eastAsia="黑体" w:cs="黑体"/>
          <w:spacing w:val="4"/>
          <w:sz w:val="31"/>
          <w:szCs w:val="31"/>
        </w:rPr>
        <w:t>阿坝州开采规划区块表</w:t>
      </w:r>
    </w:p>
    <w:p w14:paraId="634D0AD6">
      <w:pPr>
        <w:spacing w:line="114" w:lineRule="exact"/>
      </w:pPr>
    </w:p>
    <w:tbl>
      <w:tblPr>
        <w:tblStyle w:val="5"/>
        <w:tblW w:w="157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494"/>
        <w:gridCol w:w="1665"/>
        <w:gridCol w:w="816"/>
        <w:gridCol w:w="1022"/>
        <w:gridCol w:w="1026"/>
        <w:gridCol w:w="5637"/>
        <w:gridCol w:w="1012"/>
        <w:gridCol w:w="695"/>
        <w:gridCol w:w="758"/>
        <w:gridCol w:w="2149"/>
      </w:tblGrid>
      <w:tr w14:paraId="7137E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509" w:type="dxa"/>
            <w:textDirection w:val="tbRlV"/>
            <w:vAlign w:val="top"/>
          </w:tcPr>
          <w:p w14:paraId="4D7435F9">
            <w:pPr>
              <w:spacing w:before="128" w:line="181" w:lineRule="auto"/>
              <w:ind w:left="146"/>
              <w:rPr>
                <w:rFonts w:ascii="微软雅黑" w:hAnsi="微软雅黑" w:eastAsia="微软雅黑" w:cs="微软雅黑"/>
                <w:sz w:val="23"/>
                <w:szCs w:val="23"/>
              </w:rPr>
            </w:pPr>
            <w:r>
              <w:rPr>
                <w:rFonts w:ascii="微软雅黑" w:hAnsi="微软雅黑" w:eastAsia="微软雅黑" w:cs="微软雅黑"/>
                <w:spacing w:val="25"/>
                <w:sz w:val="23"/>
                <w:szCs w:val="23"/>
              </w:rPr>
              <w:t>序号</w:t>
            </w:r>
          </w:p>
        </w:tc>
        <w:tc>
          <w:tcPr>
            <w:tcW w:w="494" w:type="dxa"/>
            <w:vAlign w:val="top"/>
          </w:tcPr>
          <w:p w14:paraId="3672DF59">
            <w:pPr>
              <w:spacing w:before="147" w:line="169" w:lineRule="auto"/>
              <w:ind w:left="142" w:right="124" w:hanging="8"/>
              <w:rPr>
                <w:rFonts w:ascii="微软雅黑" w:hAnsi="微软雅黑" w:eastAsia="微软雅黑" w:cs="微软雅黑"/>
                <w:sz w:val="21"/>
                <w:szCs w:val="21"/>
              </w:rPr>
            </w:pPr>
            <w:r>
              <w:rPr>
                <w:rFonts w:ascii="微软雅黑" w:hAnsi="微软雅黑" w:eastAsia="微软雅黑" w:cs="微软雅黑"/>
                <w:spacing w:val="-1"/>
                <w:sz w:val="23"/>
                <w:szCs w:val="23"/>
              </w:rPr>
              <w:t>编</w:t>
            </w:r>
            <w:r>
              <w:rPr>
                <w:rFonts w:ascii="微软雅黑" w:hAnsi="微软雅黑" w:eastAsia="微软雅黑" w:cs="微软雅黑"/>
                <w:spacing w:val="11"/>
                <w:sz w:val="21"/>
                <w:szCs w:val="21"/>
              </w:rPr>
              <w:t>号</w:t>
            </w:r>
          </w:p>
        </w:tc>
        <w:tc>
          <w:tcPr>
            <w:tcW w:w="1665" w:type="dxa"/>
            <w:vAlign w:val="top"/>
          </w:tcPr>
          <w:p w14:paraId="50B15090">
            <w:pPr>
              <w:spacing w:before="284" w:line="236" w:lineRule="exact"/>
              <w:ind w:left="382"/>
              <w:rPr>
                <w:rFonts w:ascii="微软雅黑" w:hAnsi="微软雅黑" w:eastAsia="微软雅黑" w:cs="微软雅黑"/>
                <w:sz w:val="23"/>
                <w:szCs w:val="23"/>
              </w:rPr>
            </w:pPr>
            <w:r>
              <w:rPr>
                <w:rFonts w:ascii="微软雅黑" w:hAnsi="微软雅黑" w:eastAsia="微软雅黑" w:cs="微软雅黑"/>
                <w:spacing w:val="3"/>
                <w:position w:val="-1"/>
                <w:sz w:val="23"/>
                <w:szCs w:val="23"/>
              </w:rPr>
              <w:t>区块名称</w:t>
            </w:r>
          </w:p>
        </w:tc>
        <w:tc>
          <w:tcPr>
            <w:tcW w:w="816" w:type="dxa"/>
            <w:vAlign w:val="top"/>
          </w:tcPr>
          <w:p w14:paraId="41F40906">
            <w:pPr>
              <w:spacing w:before="11" w:line="228" w:lineRule="exact"/>
              <w:ind w:left="184"/>
              <w:rPr>
                <w:rFonts w:ascii="微软雅黑" w:hAnsi="微软雅黑" w:eastAsia="微软雅黑" w:cs="微软雅黑"/>
                <w:sz w:val="22"/>
                <w:szCs w:val="22"/>
              </w:rPr>
            </w:pPr>
            <w:r>
              <w:rPr>
                <w:rFonts w:ascii="微软雅黑" w:hAnsi="微软雅黑" w:eastAsia="微软雅黑" w:cs="微软雅黑"/>
                <w:spacing w:val="15"/>
                <w:sz w:val="22"/>
                <w:szCs w:val="22"/>
              </w:rPr>
              <w:t>开采</w:t>
            </w:r>
          </w:p>
          <w:p w14:paraId="23D0DD2C">
            <w:pPr>
              <w:spacing w:before="46" w:line="160" w:lineRule="auto"/>
              <w:ind w:left="299" w:right="165" w:hanging="114"/>
              <w:rPr>
                <w:rFonts w:ascii="微软雅黑" w:hAnsi="微软雅黑" w:eastAsia="微软雅黑" w:cs="微软雅黑"/>
                <w:sz w:val="23"/>
                <w:szCs w:val="23"/>
              </w:rPr>
            </w:pPr>
            <w:r>
              <w:rPr>
                <w:rFonts w:ascii="微软雅黑" w:hAnsi="微软雅黑" w:eastAsia="微软雅黑" w:cs="微软雅黑"/>
                <w:spacing w:val="-1"/>
                <w:sz w:val="23"/>
                <w:szCs w:val="23"/>
              </w:rPr>
              <w:t>主矿</w:t>
            </w:r>
            <w:r>
              <w:rPr>
                <w:rFonts w:ascii="微软雅黑" w:hAnsi="微软雅黑" w:eastAsia="微软雅黑" w:cs="微软雅黑"/>
                <w:sz w:val="23"/>
                <w:szCs w:val="23"/>
              </w:rPr>
              <w:t>种</w:t>
            </w:r>
          </w:p>
        </w:tc>
        <w:tc>
          <w:tcPr>
            <w:tcW w:w="1022" w:type="dxa"/>
            <w:vAlign w:val="top"/>
          </w:tcPr>
          <w:p w14:paraId="7C86F6E1">
            <w:pPr>
              <w:spacing w:before="12" w:line="230" w:lineRule="exact"/>
              <w:ind w:left="159"/>
              <w:rPr>
                <w:rFonts w:ascii="微软雅黑" w:hAnsi="微软雅黑" w:eastAsia="微软雅黑" w:cs="微软雅黑"/>
                <w:sz w:val="23"/>
                <w:szCs w:val="23"/>
              </w:rPr>
            </w:pPr>
            <w:r>
              <w:rPr>
                <w:rFonts w:ascii="微软雅黑" w:hAnsi="微软雅黑" w:eastAsia="微软雅黑" w:cs="微软雅黑"/>
                <w:spacing w:val="6"/>
                <w:position w:val="-1"/>
                <w:sz w:val="23"/>
                <w:szCs w:val="23"/>
              </w:rPr>
              <w:t>涉及总</w:t>
            </w:r>
          </w:p>
          <w:p w14:paraId="5FE91F65">
            <w:pPr>
              <w:spacing w:before="47" w:line="163" w:lineRule="auto"/>
              <w:ind w:left="277" w:right="153" w:hanging="112"/>
              <w:rPr>
                <w:rFonts w:ascii="微软雅黑" w:hAnsi="微软雅黑" w:eastAsia="微软雅黑" w:cs="微软雅黑"/>
                <w:sz w:val="23"/>
                <w:szCs w:val="23"/>
              </w:rPr>
            </w:pPr>
            <w:r>
              <w:rPr>
                <w:rFonts w:ascii="微软雅黑" w:hAnsi="微软雅黑" w:eastAsia="微软雅黑" w:cs="微软雅黑"/>
                <w:spacing w:val="12"/>
                <w:sz w:val="22"/>
                <w:szCs w:val="22"/>
              </w:rPr>
              <w:t>量控制</w:t>
            </w:r>
            <w:r>
              <w:rPr>
                <w:rFonts w:ascii="微软雅黑" w:hAnsi="微软雅黑" w:eastAsia="微软雅黑" w:cs="微软雅黑"/>
                <w:spacing w:val="5"/>
                <w:sz w:val="23"/>
                <w:szCs w:val="23"/>
              </w:rPr>
              <w:t>矿种</w:t>
            </w:r>
          </w:p>
        </w:tc>
        <w:tc>
          <w:tcPr>
            <w:tcW w:w="1026" w:type="dxa"/>
            <w:vAlign w:val="top"/>
          </w:tcPr>
          <w:p w14:paraId="1C1CBF62">
            <w:pPr>
              <w:spacing w:before="12" w:line="159" w:lineRule="auto"/>
              <w:ind w:left="275" w:right="210" w:firstLine="19"/>
              <w:rPr>
                <w:rFonts w:ascii="微软雅黑" w:hAnsi="微软雅黑" w:eastAsia="微软雅黑" w:cs="微软雅黑"/>
                <w:sz w:val="23"/>
                <w:szCs w:val="23"/>
              </w:rPr>
            </w:pPr>
            <w:r>
              <w:rPr>
                <w:rFonts w:ascii="微软雅黑" w:hAnsi="微软雅黑" w:eastAsia="微软雅黑" w:cs="微软雅黑"/>
                <w:spacing w:val="14"/>
                <w:sz w:val="22"/>
                <w:szCs w:val="22"/>
              </w:rPr>
              <w:t>面积</w:t>
            </w:r>
            <w:r>
              <w:rPr>
                <w:rFonts w:ascii="微软雅黑" w:hAnsi="微软雅黑" w:eastAsia="微软雅黑" w:cs="微软雅黑"/>
                <w:spacing w:val="-1"/>
                <w:sz w:val="23"/>
                <w:szCs w:val="23"/>
              </w:rPr>
              <w:t>(平方</w:t>
            </w:r>
          </w:p>
          <w:p w14:paraId="7A46A964">
            <w:pPr>
              <w:spacing w:before="45" w:line="232" w:lineRule="exact"/>
              <w:ind w:left="234"/>
              <w:rPr>
                <w:rFonts w:ascii="微软雅黑" w:hAnsi="微软雅黑" w:eastAsia="微软雅黑" w:cs="微软雅黑"/>
                <w:sz w:val="23"/>
                <w:szCs w:val="23"/>
              </w:rPr>
            </w:pPr>
            <w:r>
              <w:rPr>
                <w:rFonts w:ascii="微软雅黑" w:hAnsi="微软雅黑" w:eastAsia="微软雅黑" w:cs="微软雅黑"/>
                <w:spacing w:val="-2"/>
                <w:sz w:val="23"/>
                <w:szCs w:val="23"/>
              </w:rPr>
              <w:t>千米)</w:t>
            </w:r>
          </w:p>
        </w:tc>
        <w:tc>
          <w:tcPr>
            <w:tcW w:w="5637" w:type="dxa"/>
            <w:vAlign w:val="top"/>
          </w:tcPr>
          <w:p w14:paraId="63277790">
            <w:pPr>
              <w:spacing w:before="289" w:line="230" w:lineRule="exact"/>
              <w:ind w:left="2356"/>
              <w:rPr>
                <w:rFonts w:ascii="微软雅黑" w:hAnsi="微软雅黑" w:eastAsia="微软雅黑" w:cs="微软雅黑"/>
                <w:sz w:val="23"/>
                <w:szCs w:val="23"/>
              </w:rPr>
            </w:pPr>
            <w:r>
              <w:rPr>
                <w:rFonts w:ascii="微软雅黑" w:hAnsi="微软雅黑" w:eastAsia="微软雅黑" w:cs="微软雅黑"/>
                <w:spacing w:val="7"/>
                <w:position w:val="-1"/>
                <w:sz w:val="23"/>
                <w:szCs w:val="23"/>
              </w:rPr>
              <w:t>拐点坐标</w:t>
            </w:r>
          </w:p>
        </w:tc>
        <w:tc>
          <w:tcPr>
            <w:tcW w:w="1012" w:type="dxa"/>
            <w:vAlign w:val="top"/>
          </w:tcPr>
          <w:p w14:paraId="5DEC2B7E">
            <w:pPr>
              <w:spacing w:before="148" w:line="276" w:lineRule="exact"/>
              <w:ind w:left="286" w:right="140" w:hanging="123"/>
              <w:rPr>
                <w:rFonts w:ascii="微软雅黑" w:hAnsi="微软雅黑" w:eastAsia="微软雅黑" w:cs="微软雅黑"/>
                <w:sz w:val="23"/>
                <w:szCs w:val="23"/>
              </w:rPr>
            </w:pPr>
            <w:r>
              <w:rPr>
                <w:rFonts w:ascii="微软雅黑" w:hAnsi="微软雅黑" w:eastAsia="微软雅黑" w:cs="微软雅黑"/>
                <w:spacing w:val="4"/>
                <w:position w:val="1"/>
                <w:sz w:val="23"/>
                <w:szCs w:val="23"/>
              </w:rPr>
              <w:t>资源量</w:t>
            </w:r>
            <w:r>
              <w:rPr>
                <w:rFonts w:ascii="微软雅黑" w:hAnsi="微软雅黑" w:eastAsia="微软雅黑" w:cs="微软雅黑"/>
                <w:spacing w:val="1"/>
                <w:position w:val="1"/>
                <w:sz w:val="23"/>
                <w:szCs w:val="23"/>
              </w:rPr>
              <w:t>单位</w:t>
            </w:r>
          </w:p>
        </w:tc>
        <w:tc>
          <w:tcPr>
            <w:tcW w:w="695" w:type="dxa"/>
            <w:vAlign w:val="top"/>
          </w:tcPr>
          <w:p w14:paraId="1BFD61F1">
            <w:pPr>
              <w:spacing w:before="149" w:line="166" w:lineRule="auto"/>
              <w:ind w:left="244" w:right="93" w:hanging="119"/>
              <w:rPr>
                <w:rFonts w:ascii="微软雅黑" w:hAnsi="微软雅黑" w:eastAsia="微软雅黑" w:cs="微软雅黑"/>
                <w:sz w:val="21"/>
                <w:szCs w:val="21"/>
              </w:rPr>
            </w:pPr>
            <w:r>
              <w:rPr>
                <w:rFonts w:ascii="微软雅黑" w:hAnsi="微软雅黑" w:eastAsia="微软雅黑" w:cs="微软雅黑"/>
                <w:spacing w:val="5"/>
                <w:sz w:val="23"/>
                <w:szCs w:val="23"/>
              </w:rPr>
              <w:t>资源</w:t>
            </w:r>
            <w:r>
              <w:rPr>
                <w:rFonts w:ascii="微软雅黑" w:hAnsi="微软雅黑" w:eastAsia="微软雅黑" w:cs="微软雅黑"/>
                <w:spacing w:val="12"/>
                <w:sz w:val="21"/>
                <w:szCs w:val="21"/>
              </w:rPr>
              <w:t>量</w:t>
            </w:r>
          </w:p>
        </w:tc>
        <w:tc>
          <w:tcPr>
            <w:tcW w:w="758" w:type="dxa"/>
            <w:vAlign w:val="top"/>
          </w:tcPr>
          <w:p w14:paraId="495986F6">
            <w:pPr>
              <w:spacing w:before="144" w:line="157" w:lineRule="auto"/>
              <w:ind w:left="165" w:right="121" w:hanging="13"/>
              <w:rPr>
                <w:rFonts w:ascii="微软雅黑" w:hAnsi="微软雅黑" w:eastAsia="微软雅黑" w:cs="微软雅黑"/>
                <w:sz w:val="23"/>
                <w:szCs w:val="23"/>
              </w:rPr>
            </w:pPr>
            <w:r>
              <w:rPr>
                <w:rFonts w:ascii="微软雅黑" w:hAnsi="微软雅黑" w:eastAsia="微软雅黑" w:cs="微软雅黑"/>
                <w:spacing w:val="9"/>
                <w:sz w:val="23"/>
                <w:szCs w:val="23"/>
              </w:rPr>
              <w:t>投放</w:t>
            </w:r>
            <w:r>
              <w:rPr>
                <w:rFonts w:ascii="微软雅黑" w:hAnsi="微软雅黑" w:eastAsia="微软雅黑" w:cs="微软雅黑"/>
                <w:spacing w:val="-1"/>
                <w:sz w:val="23"/>
                <w:szCs w:val="23"/>
              </w:rPr>
              <w:t>时序</w:t>
            </w:r>
          </w:p>
        </w:tc>
        <w:tc>
          <w:tcPr>
            <w:tcW w:w="2149" w:type="dxa"/>
            <w:vAlign w:val="top"/>
          </w:tcPr>
          <w:p w14:paraId="59034004">
            <w:pPr>
              <w:spacing w:before="283" w:line="239" w:lineRule="exact"/>
              <w:ind w:left="843"/>
              <w:rPr>
                <w:rFonts w:ascii="微软雅黑" w:hAnsi="微软雅黑" w:eastAsia="微软雅黑" w:cs="微软雅黑"/>
                <w:sz w:val="23"/>
                <w:szCs w:val="23"/>
              </w:rPr>
            </w:pPr>
            <w:r>
              <w:rPr>
                <w:rFonts w:ascii="微软雅黑" w:hAnsi="微软雅黑" w:eastAsia="微软雅黑" w:cs="微软雅黑"/>
                <w:spacing w:val="6"/>
                <w:position w:val="-1"/>
                <w:sz w:val="23"/>
                <w:szCs w:val="23"/>
              </w:rPr>
              <w:t>备注</w:t>
            </w:r>
          </w:p>
        </w:tc>
      </w:tr>
      <w:tr w14:paraId="05B14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509" w:type="dxa"/>
            <w:vAlign w:val="top"/>
          </w:tcPr>
          <w:p w14:paraId="3BD4EDF5">
            <w:pPr>
              <w:spacing w:before="199" w:line="238" w:lineRule="exact"/>
              <w:ind w:left="234"/>
              <w:rPr>
                <w:rFonts w:ascii="楷体" w:hAnsi="楷体" w:eastAsia="楷体" w:cs="楷体"/>
                <w:sz w:val="18"/>
                <w:szCs w:val="18"/>
              </w:rPr>
            </w:pPr>
            <w:r>
              <w:rPr>
                <w:rFonts w:ascii="楷体" w:hAnsi="楷体" w:eastAsia="楷体" w:cs="楷体"/>
                <w:position w:val="1"/>
                <w:sz w:val="18"/>
                <w:szCs w:val="18"/>
              </w:rPr>
              <w:t>1</w:t>
            </w:r>
          </w:p>
        </w:tc>
        <w:tc>
          <w:tcPr>
            <w:tcW w:w="494" w:type="dxa"/>
            <w:vAlign w:val="top"/>
          </w:tcPr>
          <w:p w14:paraId="371A6B64">
            <w:pPr>
              <w:spacing w:before="60" w:line="234" w:lineRule="auto"/>
              <w:ind w:left="122"/>
              <w:rPr>
                <w:rFonts w:ascii="楷体" w:hAnsi="楷体" w:eastAsia="楷体" w:cs="楷体"/>
                <w:sz w:val="18"/>
                <w:szCs w:val="18"/>
              </w:rPr>
            </w:pPr>
            <w:r>
              <w:rPr>
                <w:rFonts w:ascii="楷体" w:hAnsi="楷体" w:eastAsia="楷体" w:cs="楷体"/>
                <w:spacing w:val="-2"/>
                <w:sz w:val="18"/>
                <w:szCs w:val="18"/>
              </w:rPr>
              <w:t>CQ0</w:t>
            </w:r>
          </w:p>
          <w:p w14:paraId="23EF8EEE">
            <w:pPr>
              <w:spacing w:before="50" w:line="216" w:lineRule="auto"/>
              <w:ind w:left="177"/>
              <w:rPr>
                <w:rFonts w:ascii="楷体" w:hAnsi="楷体" w:eastAsia="楷体" w:cs="楷体"/>
                <w:sz w:val="18"/>
                <w:szCs w:val="18"/>
              </w:rPr>
            </w:pPr>
            <w:r>
              <w:rPr>
                <w:rFonts w:ascii="楷体" w:hAnsi="楷体" w:eastAsia="楷体" w:cs="楷体"/>
                <w:spacing w:val="-9"/>
                <w:sz w:val="18"/>
                <w:szCs w:val="18"/>
              </w:rPr>
              <w:t>01</w:t>
            </w:r>
          </w:p>
        </w:tc>
        <w:tc>
          <w:tcPr>
            <w:tcW w:w="1665" w:type="dxa"/>
            <w:vAlign w:val="top"/>
          </w:tcPr>
          <w:p w14:paraId="0B33A030">
            <w:pPr>
              <w:spacing w:before="60" w:line="251" w:lineRule="auto"/>
              <w:ind w:left="257" w:right="191" w:hanging="36"/>
              <w:rPr>
                <w:rFonts w:ascii="楷体" w:hAnsi="楷体" w:eastAsia="楷体" w:cs="楷体"/>
                <w:sz w:val="18"/>
                <w:szCs w:val="18"/>
              </w:rPr>
            </w:pPr>
            <w:r>
              <w:rPr>
                <w:rFonts w:ascii="楷体" w:hAnsi="楷体" w:eastAsia="楷体" w:cs="楷体"/>
                <w:spacing w:val="-2"/>
                <w:sz w:val="18"/>
                <w:szCs w:val="18"/>
              </w:rPr>
              <w:t>四川省汶川县毛</w:t>
            </w:r>
            <w:r>
              <w:rPr>
                <w:rFonts w:ascii="楷体" w:hAnsi="楷体" w:eastAsia="楷体" w:cs="楷体"/>
                <w:spacing w:val="-1"/>
                <w:sz w:val="18"/>
                <w:szCs w:val="18"/>
              </w:rPr>
              <w:t>岭-羊龙山铁矿</w:t>
            </w:r>
          </w:p>
        </w:tc>
        <w:tc>
          <w:tcPr>
            <w:tcW w:w="816" w:type="dxa"/>
            <w:vAlign w:val="top"/>
          </w:tcPr>
          <w:p w14:paraId="6D9305E2">
            <w:pPr>
              <w:spacing w:before="199" w:line="230" w:lineRule="auto"/>
              <w:ind w:left="232"/>
              <w:rPr>
                <w:rFonts w:ascii="楷体" w:hAnsi="楷体" w:eastAsia="楷体" w:cs="楷体"/>
                <w:sz w:val="18"/>
                <w:szCs w:val="18"/>
              </w:rPr>
            </w:pPr>
            <w:r>
              <w:rPr>
                <w:rFonts w:ascii="楷体" w:hAnsi="楷体" w:eastAsia="楷体" w:cs="楷体"/>
                <w:sz w:val="18"/>
                <w:szCs w:val="18"/>
              </w:rPr>
              <w:t>铁矿</w:t>
            </w:r>
          </w:p>
        </w:tc>
        <w:tc>
          <w:tcPr>
            <w:tcW w:w="1022" w:type="dxa"/>
            <w:vAlign w:val="top"/>
          </w:tcPr>
          <w:p w14:paraId="2C74506C">
            <w:pPr>
              <w:rPr>
                <w:rFonts w:ascii="Arial"/>
                <w:sz w:val="21"/>
              </w:rPr>
            </w:pPr>
          </w:p>
        </w:tc>
        <w:tc>
          <w:tcPr>
            <w:tcW w:w="1026" w:type="dxa"/>
            <w:vAlign w:val="top"/>
          </w:tcPr>
          <w:p w14:paraId="0F069AD4">
            <w:pPr>
              <w:spacing w:before="200" w:line="241" w:lineRule="auto"/>
              <w:ind w:left="308"/>
              <w:rPr>
                <w:rFonts w:ascii="楷体" w:hAnsi="楷体" w:eastAsia="楷体" w:cs="楷体"/>
                <w:sz w:val="18"/>
                <w:szCs w:val="18"/>
              </w:rPr>
            </w:pPr>
            <w:r>
              <w:rPr>
                <w:rFonts w:ascii="楷体" w:hAnsi="楷体" w:eastAsia="楷体" w:cs="楷体"/>
                <w:spacing w:val="-3"/>
                <w:sz w:val="18"/>
                <w:szCs w:val="18"/>
              </w:rPr>
              <w:t>8.586</w:t>
            </w:r>
          </w:p>
        </w:tc>
        <w:tc>
          <w:tcPr>
            <w:tcW w:w="5637" w:type="dxa"/>
            <w:vAlign w:val="top"/>
          </w:tcPr>
          <w:p w14:paraId="2BC35B4A">
            <w:pPr>
              <w:rPr>
                <w:rFonts w:ascii="Arial"/>
                <w:sz w:val="21"/>
              </w:rPr>
            </w:pPr>
          </w:p>
        </w:tc>
        <w:tc>
          <w:tcPr>
            <w:tcW w:w="1012" w:type="dxa"/>
            <w:vAlign w:val="top"/>
          </w:tcPr>
          <w:p w14:paraId="1B511B9C">
            <w:pPr>
              <w:spacing w:before="200" w:line="230" w:lineRule="auto"/>
              <w:ind w:left="347"/>
              <w:rPr>
                <w:rFonts w:ascii="楷体" w:hAnsi="楷体" w:eastAsia="楷体" w:cs="楷体"/>
                <w:sz w:val="18"/>
                <w:szCs w:val="18"/>
              </w:rPr>
            </w:pPr>
            <w:r>
              <w:rPr>
                <w:rFonts w:ascii="楷体" w:hAnsi="楷体" w:eastAsia="楷体" w:cs="楷体"/>
                <w:spacing w:val="-6"/>
                <w:sz w:val="18"/>
                <w:szCs w:val="18"/>
              </w:rPr>
              <w:t>万吨</w:t>
            </w:r>
          </w:p>
        </w:tc>
        <w:tc>
          <w:tcPr>
            <w:tcW w:w="695" w:type="dxa"/>
            <w:vAlign w:val="top"/>
          </w:tcPr>
          <w:p w14:paraId="4B1722A0">
            <w:pPr>
              <w:spacing w:before="60" w:line="242" w:lineRule="auto"/>
              <w:ind w:left="142"/>
              <w:rPr>
                <w:rFonts w:ascii="楷体" w:hAnsi="楷体" w:eastAsia="楷体" w:cs="楷体"/>
                <w:sz w:val="18"/>
                <w:szCs w:val="18"/>
              </w:rPr>
            </w:pPr>
            <w:r>
              <w:rPr>
                <w:rFonts w:ascii="楷体" w:hAnsi="楷体" w:eastAsia="楷体" w:cs="楷体"/>
                <w:spacing w:val="-3"/>
                <w:sz w:val="18"/>
                <w:szCs w:val="18"/>
              </w:rPr>
              <w:t>2343.</w:t>
            </w:r>
          </w:p>
          <w:p w14:paraId="11BEE9F0">
            <w:pPr>
              <w:spacing w:before="42" w:line="216" w:lineRule="auto"/>
              <w:ind w:left="325"/>
              <w:rPr>
                <w:rFonts w:ascii="楷体" w:hAnsi="楷体" w:eastAsia="楷体" w:cs="楷体"/>
                <w:sz w:val="18"/>
                <w:szCs w:val="18"/>
              </w:rPr>
            </w:pPr>
            <w:r>
              <w:rPr>
                <w:rFonts w:ascii="楷体" w:hAnsi="楷体" w:eastAsia="楷体" w:cs="楷体"/>
                <w:sz w:val="18"/>
                <w:szCs w:val="18"/>
              </w:rPr>
              <w:t>9</w:t>
            </w:r>
          </w:p>
        </w:tc>
        <w:tc>
          <w:tcPr>
            <w:tcW w:w="758" w:type="dxa"/>
            <w:vAlign w:val="top"/>
          </w:tcPr>
          <w:p w14:paraId="55BE823F">
            <w:pPr>
              <w:spacing w:before="60" w:line="239" w:lineRule="auto"/>
              <w:ind w:left="133"/>
              <w:rPr>
                <w:rFonts w:ascii="楷体" w:hAnsi="楷体" w:eastAsia="楷体" w:cs="楷体"/>
                <w:sz w:val="18"/>
                <w:szCs w:val="18"/>
              </w:rPr>
            </w:pPr>
            <w:r>
              <w:rPr>
                <w:rFonts w:ascii="楷体" w:hAnsi="楷体" w:eastAsia="楷体" w:cs="楷体"/>
                <w:spacing w:val="-3"/>
                <w:sz w:val="18"/>
                <w:szCs w:val="18"/>
              </w:rPr>
              <w:t>2021-2</w:t>
            </w:r>
          </w:p>
          <w:p w14:paraId="06353989">
            <w:pPr>
              <w:spacing w:before="45" w:line="216" w:lineRule="auto"/>
              <w:ind w:left="158"/>
              <w:rPr>
                <w:rFonts w:ascii="楷体" w:hAnsi="楷体" w:eastAsia="楷体" w:cs="楷体"/>
                <w:sz w:val="18"/>
                <w:szCs w:val="18"/>
              </w:rPr>
            </w:pPr>
            <w:r>
              <w:rPr>
                <w:rFonts w:ascii="楷体" w:hAnsi="楷体" w:eastAsia="楷体" w:cs="楷体"/>
                <w:spacing w:val="-5"/>
                <w:sz w:val="18"/>
                <w:szCs w:val="18"/>
              </w:rPr>
              <w:t>025</w:t>
            </w:r>
            <w:r>
              <w:rPr>
                <w:rFonts w:ascii="楷体" w:hAnsi="楷体" w:eastAsia="楷体" w:cs="楷体"/>
                <w:spacing w:val="-39"/>
                <w:sz w:val="18"/>
                <w:szCs w:val="18"/>
              </w:rPr>
              <w:t xml:space="preserve"> </w:t>
            </w:r>
            <w:r>
              <w:rPr>
                <w:rFonts w:ascii="楷体" w:hAnsi="楷体" w:eastAsia="楷体" w:cs="楷体"/>
                <w:spacing w:val="-5"/>
                <w:sz w:val="18"/>
                <w:szCs w:val="18"/>
              </w:rPr>
              <w:t>年</w:t>
            </w:r>
          </w:p>
        </w:tc>
        <w:tc>
          <w:tcPr>
            <w:tcW w:w="2149" w:type="dxa"/>
            <w:vAlign w:val="top"/>
          </w:tcPr>
          <w:p w14:paraId="38672E8E">
            <w:pPr>
              <w:spacing w:before="200" w:line="223" w:lineRule="auto"/>
              <w:ind w:left="601"/>
              <w:rPr>
                <w:rFonts w:ascii="楷体" w:hAnsi="楷体" w:eastAsia="楷体" w:cs="楷体"/>
                <w:sz w:val="18"/>
                <w:szCs w:val="18"/>
              </w:rPr>
            </w:pPr>
            <w:r>
              <w:rPr>
                <w:rFonts w:ascii="楷体" w:hAnsi="楷体" w:eastAsia="楷体" w:cs="楷体"/>
                <w:spacing w:val="-3"/>
                <w:sz w:val="18"/>
                <w:szCs w:val="18"/>
              </w:rPr>
              <w:t>落实省级规划</w:t>
            </w:r>
          </w:p>
        </w:tc>
      </w:tr>
      <w:tr w14:paraId="0DEA7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09" w:type="dxa"/>
            <w:vAlign w:val="top"/>
          </w:tcPr>
          <w:p w14:paraId="33B350A9">
            <w:pPr>
              <w:spacing w:before="205" w:line="238" w:lineRule="exact"/>
              <w:ind w:left="229"/>
              <w:rPr>
                <w:rFonts w:ascii="楷体" w:hAnsi="楷体" w:eastAsia="楷体" w:cs="楷体"/>
                <w:sz w:val="18"/>
                <w:szCs w:val="18"/>
              </w:rPr>
            </w:pPr>
            <w:r>
              <w:rPr>
                <w:rFonts w:ascii="楷体" w:hAnsi="楷体" w:eastAsia="楷体" w:cs="楷体"/>
                <w:position w:val="1"/>
                <w:sz w:val="18"/>
                <w:szCs w:val="18"/>
              </w:rPr>
              <w:t>2</w:t>
            </w:r>
          </w:p>
        </w:tc>
        <w:tc>
          <w:tcPr>
            <w:tcW w:w="494" w:type="dxa"/>
            <w:vAlign w:val="top"/>
          </w:tcPr>
          <w:p w14:paraId="42010AB4">
            <w:pPr>
              <w:spacing w:before="61" w:line="234" w:lineRule="auto"/>
              <w:ind w:left="122"/>
              <w:rPr>
                <w:rFonts w:ascii="楷体" w:hAnsi="楷体" w:eastAsia="楷体" w:cs="楷体"/>
                <w:sz w:val="18"/>
                <w:szCs w:val="18"/>
              </w:rPr>
            </w:pPr>
            <w:r>
              <w:rPr>
                <w:rFonts w:ascii="楷体" w:hAnsi="楷体" w:eastAsia="楷体" w:cs="楷体"/>
                <w:spacing w:val="-2"/>
                <w:sz w:val="18"/>
                <w:szCs w:val="18"/>
              </w:rPr>
              <w:t>CQ0</w:t>
            </w:r>
          </w:p>
          <w:p w14:paraId="06AC4B42">
            <w:pPr>
              <w:spacing w:before="55" w:line="215" w:lineRule="auto"/>
              <w:ind w:left="177"/>
              <w:rPr>
                <w:rFonts w:ascii="楷体" w:hAnsi="楷体" w:eastAsia="楷体" w:cs="楷体"/>
                <w:sz w:val="18"/>
                <w:szCs w:val="18"/>
              </w:rPr>
            </w:pPr>
            <w:r>
              <w:rPr>
                <w:rFonts w:ascii="楷体" w:hAnsi="楷体" w:eastAsia="楷体" w:cs="楷体"/>
                <w:spacing w:val="-9"/>
                <w:sz w:val="18"/>
                <w:szCs w:val="18"/>
              </w:rPr>
              <w:t>02</w:t>
            </w:r>
          </w:p>
        </w:tc>
        <w:tc>
          <w:tcPr>
            <w:tcW w:w="1665" w:type="dxa"/>
            <w:vAlign w:val="top"/>
          </w:tcPr>
          <w:p w14:paraId="09FE4241">
            <w:pPr>
              <w:spacing w:before="61" w:line="253" w:lineRule="auto"/>
              <w:ind w:left="481" w:right="100" w:hanging="347"/>
              <w:rPr>
                <w:rFonts w:ascii="楷体" w:hAnsi="楷体" w:eastAsia="楷体" w:cs="楷体"/>
                <w:sz w:val="18"/>
                <w:szCs w:val="18"/>
              </w:rPr>
            </w:pPr>
            <w:r>
              <w:rPr>
                <w:rFonts w:ascii="楷体" w:hAnsi="楷体" w:eastAsia="楷体" w:cs="楷体"/>
                <w:spacing w:val="-2"/>
                <w:sz w:val="18"/>
                <w:szCs w:val="18"/>
              </w:rPr>
              <w:t>小金县抚边乡小草</w:t>
            </w:r>
            <w:r>
              <w:rPr>
                <w:rFonts w:ascii="楷体" w:hAnsi="楷体" w:eastAsia="楷体" w:cs="楷体"/>
                <w:spacing w:val="-1"/>
                <w:sz w:val="18"/>
                <w:szCs w:val="18"/>
              </w:rPr>
              <w:t>坝钨钼矿</w:t>
            </w:r>
          </w:p>
        </w:tc>
        <w:tc>
          <w:tcPr>
            <w:tcW w:w="816" w:type="dxa"/>
            <w:vAlign w:val="top"/>
          </w:tcPr>
          <w:p w14:paraId="6D8BB1FF">
            <w:pPr>
              <w:spacing w:before="206" w:line="220" w:lineRule="auto"/>
              <w:ind w:left="231"/>
              <w:rPr>
                <w:rFonts w:ascii="楷体" w:hAnsi="楷体" w:eastAsia="楷体" w:cs="楷体"/>
                <w:sz w:val="18"/>
                <w:szCs w:val="18"/>
              </w:rPr>
            </w:pPr>
            <w:r>
              <w:rPr>
                <w:rFonts w:ascii="楷体" w:hAnsi="楷体" w:eastAsia="楷体" w:cs="楷体"/>
                <w:sz w:val="18"/>
                <w:szCs w:val="18"/>
              </w:rPr>
              <w:t>钨矿</w:t>
            </w:r>
          </w:p>
        </w:tc>
        <w:tc>
          <w:tcPr>
            <w:tcW w:w="1022" w:type="dxa"/>
            <w:vAlign w:val="top"/>
          </w:tcPr>
          <w:p w14:paraId="210B151E">
            <w:pPr>
              <w:rPr>
                <w:rFonts w:ascii="Arial"/>
                <w:sz w:val="21"/>
              </w:rPr>
            </w:pPr>
          </w:p>
        </w:tc>
        <w:tc>
          <w:tcPr>
            <w:tcW w:w="1026" w:type="dxa"/>
            <w:vAlign w:val="top"/>
          </w:tcPr>
          <w:p w14:paraId="0B2F347A">
            <w:pPr>
              <w:spacing w:before="205" w:line="242" w:lineRule="auto"/>
              <w:ind w:left="270"/>
              <w:rPr>
                <w:rFonts w:ascii="楷体" w:hAnsi="楷体" w:eastAsia="楷体" w:cs="楷体"/>
                <w:sz w:val="18"/>
                <w:szCs w:val="18"/>
              </w:rPr>
            </w:pPr>
            <w:r>
              <w:rPr>
                <w:rFonts w:ascii="楷体" w:hAnsi="楷体" w:eastAsia="楷体" w:cs="楷体"/>
                <w:spacing w:val="-4"/>
                <w:sz w:val="18"/>
                <w:szCs w:val="18"/>
              </w:rPr>
              <w:t>34.481</w:t>
            </w:r>
          </w:p>
        </w:tc>
        <w:tc>
          <w:tcPr>
            <w:tcW w:w="5637" w:type="dxa"/>
            <w:vAlign w:val="top"/>
          </w:tcPr>
          <w:p w14:paraId="1E02F64F">
            <w:pPr>
              <w:rPr>
                <w:rFonts w:ascii="Arial"/>
                <w:sz w:val="21"/>
              </w:rPr>
            </w:pPr>
          </w:p>
        </w:tc>
        <w:tc>
          <w:tcPr>
            <w:tcW w:w="1012" w:type="dxa"/>
            <w:vAlign w:val="top"/>
          </w:tcPr>
          <w:p w14:paraId="461E2CBA">
            <w:pPr>
              <w:spacing w:before="206" w:line="230" w:lineRule="auto"/>
              <w:ind w:left="347"/>
              <w:rPr>
                <w:rFonts w:ascii="楷体" w:hAnsi="楷体" w:eastAsia="楷体" w:cs="楷体"/>
                <w:sz w:val="18"/>
                <w:szCs w:val="18"/>
              </w:rPr>
            </w:pPr>
            <w:r>
              <w:rPr>
                <w:rFonts w:ascii="楷体" w:hAnsi="楷体" w:eastAsia="楷体" w:cs="楷体"/>
                <w:spacing w:val="-6"/>
                <w:sz w:val="18"/>
                <w:szCs w:val="18"/>
              </w:rPr>
              <w:t>万吨</w:t>
            </w:r>
          </w:p>
        </w:tc>
        <w:tc>
          <w:tcPr>
            <w:tcW w:w="695" w:type="dxa"/>
            <w:vAlign w:val="top"/>
          </w:tcPr>
          <w:p w14:paraId="45DC4EC7">
            <w:pPr>
              <w:spacing w:before="61" w:line="242" w:lineRule="auto"/>
              <w:ind w:left="149"/>
              <w:rPr>
                <w:rFonts w:ascii="楷体" w:hAnsi="楷体" w:eastAsia="楷体" w:cs="楷体"/>
                <w:sz w:val="18"/>
                <w:szCs w:val="18"/>
              </w:rPr>
            </w:pPr>
            <w:r>
              <w:rPr>
                <w:rFonts w:ascii="楷体" w:hAnsi="楷体" w:eastAsia="楷体" w:cs="楷体"/>
                <w:spacing w:val="-5"/>
                <w:sz w:val="18"/>
                <w:szCs w:val="18"/>
              </w:rPr>
              <w:t>3384.</w:t>
            </w:r>
          </w:p>
          <w:p w14:paraId="1D1E15C2">
            <w:pPr>
              <w:spacing w:before="47" w:line="215" w:lineRule="auto"/>
              <w:ind w:left="324"/>
              <w:rPr>
                <w:rFonts w:ascii="楷体" w:hAnsi="楷体" w:eastAsia="楷体" w:cs="楷体"/>
                <w:sz w:val="18"/>
                <w:szCs w:val="18"/>
              </w:rPr>
            </w:pPr>
            <w:r>
              <w:rPr>
                <w:rFonts w:ascii="楷体" w:hAnsi="楷体" w:eastAsia="楷体" w:cs="楷体"/>
                <w:sz w:val="18"/>
                <w:szCs w:val="18"/>
              </w:rPr>
              <w:t>2</w:t>
            </w:r>
          </w:p>
        </w:tc>
        <w:tc>
          <w:tcPr>
            <w:tcW w:w="758" w:type="dxa"/>
            <w:vAlign w:val="top"/>
          </w:tcPr>
          <w:p w14:paraId="222B53B9">
            <w:pPr>
              <w:spacing w:before="61" w:line="239" w:lineRule="auto"/>
              <w:ind w:left="133"/>
              <w:rPr>
                <w:rFonts w:ascii="楷体" w:hAnsi="楷体" w:eastAsia="楷体" w:cs="楷体"/>
                <w:sz w:val="18"/>
                <w:szCs w:val="18"/>
              </w:rPr>
            </w:pPr>
            <w:r>
              <w:rPr>
                <w:rFonts w:ascii="楷体" w:hAnsi="楷体" w:eastAsia="楷体" w:cs="楷体"/>
                <w:spacing w:val="-3"/>
                <w:sz w:val="18"/>
                <w:szCs w:val="18"/>
              </w:rPr>
              <w:t>2021-2</w:t>
            </w:r>
          </w:p>
          <w:p w14:paraId="00500DC2">
            <w:pPr>
              <w:spacing w:before="50" w:line="215" w:lineRule="auto"/>
              <w:ind w:left="158"/>
              <w:rPr>
                <w:rFonts w:ascii="楷体" w:hAnsi="楷体" w:eastAsia="楷体" w:cs="楷体"/>
                <w:sz w:val="18"/>
                <w:szCs w:val="18"/>
              </w:rPr>
            </w:pPr>
            <w:r>
              <w:rPr>
                <w:rFonts w:ascii="楷体" w:hAnsi="楷体" w:eastAsia="楷体" w:cs="楷体"/>
                <w:spacing w:val="-5"/>
                <w:sz w:val="18"/>
                <w:szCs w:val="18"/>
              </w:rPr>
              <w:t>025</w:t>
            </w:r>
            <w:r>
              <w:rPr>
                <w:rFonts w:ascii="楷体" w:hAnsi="楷体" w:eastAsia="楷体" w:cs="楷体"/>
                <w:spacing w:val="-39"/>
                <w:sz w:val="18"/>
                <w:szCs w:val="18"/>
              </w:rPr>
              <w:t xml:space="preserve"> </w:t>
            </w:r>
            <w:r>
              <w:rPr>
                <w:rFonts w:ascii="楷体" w:hAnsi="楷体" w:eastAsia="楷体" w:cs="楷体"/>
                <w:spacing w:val="-5"/>
                <w:sz w:val="18"/>
                <w:szCs w:val="18"/>
              </w:rPr>
              <w:t>年</w:t>
            </w:r>
          </w:p>
        </w:tc>
        <w:tc>
          <w:tcPr>
            <w:tcW w:w="2149" w:type="dxa"/>
            <w:vAlign w:val="top"/>
          </w:tcPr>
          <w:p w14:paraId="407C8523">
            <w:pPr>
              <w:spacing w:before="206" w:line="223" w:lineRule="auto"/>
              <w:ind w:left="558"/>
              <w:rPr>
                <w:rFonts w:ascii="楷体" w:hAnsi="楷体" w:eastAsia="楷体" w:cs="楷体"/>
                <w:sz w:val="18"/>
                <w:szCs w:val="18"/>
              </w:rPr>
            </w:pPr>
            <w:r>
              <w:rPr>
                <w:rFonts w:ascii="楷体" w:hAnsi="楷体" w:eastAsia="楷体" w:cs="楷体"/>
                <w:spacing w:val="-3"/>
                <w:sz w:val="18"/>
                <w:szCs w:val="18"/>
              </w:rPr>
              <w:t>落实省级规划</w:t>
            </w:r>
          </w:p>
        </w:tc>
      </w:tr>
      <w:tr w14:paraId="2B4C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509" w:type="dxa"/>
            <w:vAlign w:val="top"/>
          </w:tcPr>
          <w:p w14:paraId="1D0F8515">
            <w:pPr>
              <w:spacing w:line="385" w:lineRule="auto"/>
              <w:rPr>
                <w:rFonts w:ascii="Arial"/>
                <w:sz w:val="21"/>
              </w:rPr>
            </w:pPr>
          </w:p>
          <w:p w14:paraId="3038C929">
            <w:pPr>
              <w:spacing w:before="59" w:line="242" w:lineRule="auto"/>
              <w:ind w:left="237"/>
              <w:rPr>
                <w:rFonts w:ascii="楷体" w:hAnsi="楷体" w:eastAsia="楷体" w:cs="楷体"/>
                <w:sz w:val="18"/>
                <w:szCs w:val="18"/>
              </w:rPr>
            </w:pPr>
            <w:r>
              <w:rPr>
                <w:rFonts w:ascii="楷体" w:hAnsi="楷体" w:eastAsia="楷体" w:cs="楷体"/>
                <w:sz w:val="18"/>
                <w:szCs w:val="18"/>
              </w:rPr>
              <w:t>3</w:t>
            </w:r>
          </w:p>
        </w:tc>
        <w:tc>
          <w:tcPr>
            <w:tcW w:w="494" w:type="dxa"/>
            <w:vAlign w:val="top"/>
          </w:tcPr>
          <w:p w14:paraId="557EF213">
            <w:pPr>
              <w:spacing w:line="247" w:lineRule="auto"/>
              <w:rPr>
                <w:rFonts w:ascii="Arial"/>
                <w:sz w:val="21"/>
              </w:rPr>
            </w:pPr>
          </w:p>
          <w:p w14:paraId="6C7C484D">
            <w:pPr>
              <w:spacing w:before="59" w:line="234" w:lineRule="auto"/>
              <w:ind w:left="122"/>
              <w:rPr>
                <w:rFonts w:ascii="楷体" w:hAnsi="楷体" w:eastAsia="楷体" w:cs="楷体"/>
                <w:sz w:val="18"/>
                <w:szCs w:val="18"/>
              </w:rPr>
            </w:pPr>
            <w:r>
              <w:rPr>
                <w:rFonts w:ascii="楷体" w:hAnsi="楷体" w:eastAsia="楷体" w:cs="楷体"/>
                <w:spacing w:val="-2"/>
                <w:sz w:val="18"/>
                <w:szCs w:val="18"/>
              </w:rPr>
              <w:t>CQ0</w:t>
            </w:r>
          </w:p>
          <w:p w14:paraId="5DFB02D5">
            <w:pPr>
              <w:spacing w:before="50" w:line="239" w:lineRule="auto"/>
              <w:ind w:left="177"/>
              <w:rPr>
                <w:rFonts w:ascii="楷体" w:hAnsi="楷体" w:eastAsia="楷体" w:cs="楷体"/>
                <w:sz w:val="18"/>
                <w:szCs w:val="18"/>
              </w:rPr>
            </w:pPr>
            <w:r>
              <w:rPr>
                <w:rFonts w:ascii="楷体" w:hAnsi="楷体" w:eastAsia="楷体" w:cs="楷体"/>
                <w:spacing w:val="-9"/>
                <w:sz w:val="18"/>
                <w:szCs w:val="18"/>
              </w:rPr>
              <w:t>03</w:t>
            </w:r>
          </w:p>
        </w:tc>
        <w:tc>
          <w:tcPr>
            <w:tcW w:w="1665" w:type="dxa"/>
            <w:vAlign w:val="top"/>
          </w:tcPr>
          <w:p w14:paraId="1D36D720">
            <w:pPr>
              <w:spacing w:before="164" w:line="220" w:lineRule="auto"/>
              <w:ind w:left="129"/>
              <w:rPr>
                <w:rFonts w:ascii="楷体" w:hAnsi="楷体" w:eastAsia="楷体" w:cs="楷体"/>
                <w:sz w:val="18"/>
                <w:szCs w:val="18"/>
              </w:rPr>
            </w:pPr>
            <w:r>
              <w:rPr>
                <w:rFonts w:ascii="楷体" w:hAnsi="楷体" w:eastAsia="楷体" w:cs="楷体"/>
                <w:spacing w:val="-2"/>
                <w:sz w:val="18"/>
                <w:szCs w:val="18"/>
              </w:rPr>
              <w:t>四川省茂县吉鱼理</w:t>
            </w:r>
          </w:p>
          <w:p w14:paraId="5108BBD5">
            <w:pPr>
              <w:spacing w:before="68" w:line="218" w:lineRule="auto"/>
              <w:ind w:left="126"/>
              <w:rPr>
                <w:rFonts w:ascii="楷体" w:hAnsi="楷体" w:eastAsia="楷体" w:cs="楷体"/>
                <w:sz w:val="18"/>
                <w:szCs w:val="18"/>
              </w:rPr>
            </w:pPr>
            <w:r>
              <w:rPr>
                <w:rFonts w:ascii="楷体" w:hAnsi="楷体" w:eastAsia="楷体" w:cs="楷体"/>
                <w:spacing w:val="-1"/>
                <w:sz w:val="18"/>
                <w:szCs w:val="18"/>
              </w:rPr>
              <w:t>疗天然矿泉水拟设</w:t>
            </w:r>
          </w:p>
          <w:p w14:paraId="506D98DA">
            <w:pPr>
              <w:spacing w:before="65" w:line="221" w:lineRule="auto"/>
              <w:ind w:left="484"/>
              <w:rPr>
                <w:rFonts w:ascii="楷体" w:hAnsi="楷体" w:eastAsia="楷体" w:cs="楷体"/>
                <w:sz w:val="18"/>
                <w:szCs w:val="18"/>
              </w:rPr>
            </w:pPr>
            <w:r>
              <w:rPr>
                <w:rFonts w:ascii="楷体" w:hAnsi="楷体" w:eastAsia="楷体" w:cs="楷体"/>
                <w:spacing w:val="-2"/>
                <w:sz w:val="18"/>
                <w:szCs w:val="18"/>
              </w:rPr>
              <w:t>开采区块</w:t>
            </w:r>
          </w:p>
        </w:tc>
        <w:tc>
          <w:tcPr>
            <w:tcW w:w="816" w:type="dxa"/>
            <w:vAlign w:val="top"/>
          </w:tcPr>
          <w:p w14:paraId="6C28EA23">
            <w:pPr>
              <w:spacing w:line="386" w:lineRule="auto"/>
              <w:rPr>
                <w:rFonts w:ascii="Arial"/>
                <w:sz w:val="21"/>
              </w:rPr>
            </w:pPr>
          </w:p>
          <w:p w14:paraId="49EA11E1">
            <w:pPr>
              <w:spacing w:before="58" w:line="218" w:lineRule="auto"/>
              <w:ind w:left="139"/>
              <w:rPr>
                <w:rFonts w:ascii="楷体" w:hAnsi="楷体" w:eastAsia="楷体" w:cs="楷体"/>
                <w:sz w:val="18"/>
                <w:szCs w:val="18"/>
              </w:rPr>
            </w:pPr>
            <w:r>
              <w:rPr>
                <w:rFonts w:ascii="楷体" w:hAnsi="楷体" w:eastAsia="楷体" w:cs="楷体"/>
                <w:spacing w:val="1"/>
                <w:sz w:val="18"/>
                <w:szCs w:val="18"/>
              </w:rPr>
              <w:t>矿泉水</w:t>
            </w:r>
          </w:p>
        </w:tc>
        <w:tc>
          <w:tcPr>
            <w:tcW w:w="1022" w:type="dxa"/>
            <w:vAlign w:val="top"/>
          </w:tcPr>
          <w:p w14:paraId="2C16AF2C">
            <w:pPr>
              <w:rPr>
                <w:rFonts w:ascii="Arial"/>
                <w:sz w:val="21"/>
              </w:rPr>
            </w:pPr>
          </w:p>
        </w:tc>
        <w:tc>
          <w:tcPr>
            <w:tcW w:w="1026" w:type="dxa"/>
            <w:vAlign w:val="top"/>
          </w:tcPr>
          <w:p w14:paraId="42E9F310">
            <w:pPr>
              <w:spacing w:line="386" w:lineRule="auto"/>
              <w:rPr>
                <w:rFonts w:ascii="Arial"/>
                <w:sz w:val="21"/>
              </w:rPr>
            </w:pPr>
          </w:p>
          <w:p w14:paraId="17F109CB">
            <w:pPr>
              <w:spacing w:before="58" w:line="239" w:lineRule="auto"/>
              <w:ind w:left="360"/>
              <w:rPr>
                <w:rFonts w:ascii="楷体" w:hAnsi="楷体" w:eastAsia="楷体" w:cs="楷体"/>
                <w:sz w:val="18"/>
                <w:szCs w:val="18"/>
              </w:rPr>
            </w:pPr>
            <w:r>
              <w:rPr>
                <w:rFonts w:ascii="楷体" w:hAnsi="楷体" w:eastAsia="楷体" w:cs="楷体"/>
                <w:spacing w:val="-5"/>
                <w:sz w:val="18"/>
                <w:szCs w:val="18"/>
              </w:rPr>
              <w:t>0.06</w:t>
            </w:r>
          </w:p>
        </w:tc>
        <w:tc>
          <w:tcPr>
            <w:tcW w:w="5637" w:type="dxa"/>
            <w:vAlign w:val="top"/>
          </w:tcPr>
          <w:p w14:paraId="00AB2FD7">
            <w:pPr>
              <w:rPr>
                <w:rFonts w:ascii="Arial"/>
                <w:sz w:val="21"/>
              </w:rPr>
            </w:pPr>
          </w:p>
        </w:tc>
        <w:tc>
          <w:tcPr>
            <w:tcW w:w="1012" w:type="dxa"/>
            <w:vAlign w:val="top"/>
          </w:tcPr>
          <w:p w14:paraId="0D1663A7">
            <w:pPr>
              <w:spacing w:line="246" w:lineRule="auto"/>
              <w:rPr>
                <w:rFonts w:ascii="Arial"/>
                <w:sz w:val="21"/>
              </w:rPr>
            </w:pPr>
          </w:p>
          <w:p w14:paraId="53A098A9">
            <w:pPr>
              <w:spacing w:before="59" w:line="295" w:lineRule="auto"/>
              <w:ind w:left="430" w:right="179" w:hanging="227"/>
              <w:rPr>
                <w:rFonts w:ascii="楷体" w:hAnsi="楷体" w:eastAsia="楷体" w:cs="楷体"/>
                <w:sz w:val="18"/>
                <w:szCs w:val="18"/>
              </w:rPr>
            </w:pPr>
            <w:r>
              <w:rPr>
                <w:rFonts w:ascii="楷体" w:hAnsi="楷体" w:eastAsia="楷体" w:cs="楷体"/>
                <w:spacing w:val="-2"/>
                <w:sz w:val="18"/>
                <w:szCs w:val="18"/>
              </w:rPr>
              <w:t>立方米/</w:t>
            </w:r>
            <w:r>
              <w:rPr>
                <w:rFonts w:ascii="楷体" w:hAnsi="楷体" w:eastAsia="楷体" w:cs="楷体"/>
                <w:sz w:val="18"/>
                <w:szCs w:val="18"/>
              </w:rPr>
              <w:t>天</w:t>
            </w:r>
          </w:p>
        </w:tc>
        <w:tc>
          <w:tcPr>
            <w:tcW w:w="695" w:type="dxa"/>
            <w:vAlign w:val="top"/>
          </w:tcPr>
          <w:p w14:paraId="67C5874A">
            <w:pPr>
              <w:spacing w:line="247" w:lineRule="auto"/>
              <w:rPr>
                <w:rFonts w:ascii="Arial"/>
                <w:sz w:val="21"/>
              </w:rPr>
            </w:pPr>
          </w:p>
          <w:p w14:paraId="1C81E6BD">
            <w:pPr>
              <w:spacing w:before="59" w:line="242" w:lineRule="auto"/>
              <w:ind w:left="149"/>
              <w:rPr>
                <w:rFonts w:ascii="楷体" w:hAnsi="楷体" w:eastAsia="楷体" w:cs="楷体"/>
                <w:sz w:val="18"/>
                <w:szCs w:val="18"/>
              </w:rPr>
            </w:pPr>
            <w:r>
              <w:rPr>
                <w:rFonts w:ascii="楷体" w:hAnsi="楷体" w:eastAsia="楷体" w:cs="楷体"/>
                <w:spacing w:val="-5"/>
                <w:sz w:val="18"/>
                <w:szCs w:val="18"/>
              </w:rPr>
              <w:t>373.9</w:t>
            </w:r>
          </w:p>
          <w:p w14:paraId="5D026693">
            <w:pPr>
              <w:spacing w:before="42" w:line="242" w:lineRule="auto"/>
              <w:ind w:left="331"/>
              <w:rPr>
                <w:rFonts w:ascii="楷体" w:hAnsi="楷体" w:eastAsia="楷体" w:cs="楷体"/>
                <w:sz w:val="18"/>
                <w:szCs w:val="18"/>
              </w:rPr>
            </w:pPr>
            <w:r>
              <w:rPr>
                <w:rFonts w:ascii="楷体" w:hAnsi="楷体" w:eastAsia="楷体" w:cs="楷体"/>
                <w:sz w:val="18"/>
                <w:szCs w:val="18"/>
              </w:rPr>
              <w:t>3</w:t>
            </w:r>
          </w:p>
        </w:tc>
        <w:tc>
          <w:tcPr>
            <w:tcW w:w="758" w:type="dxa"/>
            <w:vAlign w:val="top"/>
          </w:tcPr>
          <w:p w14:paraId="361F0D6B">
            <w:pPr>
              <w:spacing w:line="247" w:lineRule="auto"/>
              <w:rPr>
                <w:rFonts w:ascii="Arial"/>
                <w:sz w:val="21"/>
              </w:rPr>
            </w:pPr>
          </w:p>
          <w:p w14:paraId="5A4DAA09">
            <w:pPr>
              <w:spacing w:before="59" w:line="239" w:lineRule="auto"/>
              <w:ind w:left="133"/>
              <w:rPr>
                <w:rFonts w:ascii="楷体" w:hAnsi="楷体" w:eastAsia="楷体" w:cs="楷体"/>
                <w:sz w:val="18"/>
                <w:szCs w:val="18"/>
              </w:rPr>
            </w:pPr>
            <w:r>
              <w:rPr>
                <w:rFonts w:ascii="楷体" w:hAnsi="楷体" w:eastAsia="楷体" w:cs="楷体"/>
                <w:spacing w:val="-3"/>
                <w:sz w:val="18"/>
                <w:szCs w:val="18"/>
              </w:rPr>
              <w:t>2021-2</w:t>
            </w:r>
          </w:p>
          <w:p w14:paraId="530395BE">
            <w:pPr>
              <w:spacing w:before="45" w:line="219" w:lineRule="auto"/>
              <w:ind w:left="158"/>
              <w:rPr>
                <w:rFonts w:ascii="楷体" w:hAnsi="楷体" w:eastAsia="楷体" w:cs="楷体"/>
                <w:sz w:val="18"/>
                <w:szCs w:val="18"/>
              </w:rPr>
            </w:pPr>
            <w:r>
              <w:rPr>
                <w:rFonts w:ascii="楷体" w:hAnsi="楷体" w:eastAsia="楷体" w:cs="楷体"/>
                <w:spacing w:val="-5"/>
                <w:sz w:val="18"/>
                <w:szCs w:val="18"/>
              </w:rPr>
              <w:t>025</w:t>
            </w:r>
            <w:r>
              <w:rPr>
                <w:rFonts w:ascii="楷体" w:hAnsi="楷体" w:eastAsia="楷体" w:cs="楷体"/>
                <w:spacing w:val="-39"/>
                <w:sz w:val="18"/>
                <w:szCs w:val="18"/>
              </w:rPr>
              <w:t xml:space="preserve"> </w:t>
            </w:r>
            <w:r>
              <w:rPr>
                <w:rFonts w:ascii="楷体" w:hAnsi="楷体" w:eastAsia="楷体" w:cs="楷体"/>
                <w:spacing w:val="-5"/>
                <w:sz w:val="18"/>
                <w:szCs w:val="18"/>
              </w:rPr>
              <w:t>年</w:t>
            </w:r>
          </w:p>
        </w:tc>
        <w:tc>
          <w:tcPr>
            <w:tcW w:w="2149" w:type="dxa"/>
            <w:vAlign w:val="top"/>
          </w:tcPr>
          <w:p w14:paraId="28AF0BBC">
            <w:pPr>
              <w:rPr>
                <w:rFonts w:ascii="Arial"/>
                <w:sz w:val="21"/>
              </w:rPr>
            </w:pPr>
          </w:p>
        </w:tc>
      </w:tr>
      <w:tr w14:paraId="3297C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509" w:type="dxa"/>
            <w:vAlign w:val="top"/>
          </w:tcPr>
          <w:p w14:paraId="3F5D9682">
            <w:pPr>
              <w:rPr>
                <w:rFonts w:ascii="Arial"/>
                <w:sz w:val="21"/>
              </w:rPr>
            </w:pPr>
          </w:p>
        </w:tc>
        <w:tc>
          <w:tcPr>
            <w:tcW w:w="494" w:type="dxa"/>
            <w:vAlign w:val="top"/>
          </w:tcPr>
          <w:p w14:paraId="3256A785">
            <w:pPr>
              <w:rPr>
                <w:rFonts w:ascii="Arial"/>
                <w:sz w:val="21"/>
              </w:rPr>
            </w:pPr>
          </w:p>
        </w:tc>
        <w:tc>
          <w:tcPr>
            <w:tcW w:w="1665" w:type="dxa"/>
            <w:vAlign w:val="top"/>
          </w:tcPr>
          <w:p w14:paraId="1EF325CF">
            <w:pPr>
              <w:rPr>
                <w:rFonts w:ascii="Arial"/>
                <w:sz w:val="21"/>
              </w:rPr>
            </w:pPr>
          </w:p>
        </w:tc>
        <w:tc>
          <w:tcPr>
            <w:tcW w:w="816" w:type="dxa"/>
            <w:vAlign w:val="top"/>
          </w:tcPr>
          <w:p w14:paraId="072F8746">
            <w:pPr>
              <w:rPr>
                <w:rFonts w:ascii="Arial"/>
                <w:sz w:val="21"/>
              </w:rPr>
            </w:pPr>
          </w:p>
        </w:tc>
        <w:tc>
          <w:tcPr>
            <w:tcW w:w="1022" w:type="dxa"/>
            <w:vAlign w:val="top"/>
          </w:tcPr>
          <w:p w14:paraId="3E01F930">
            <w:pPr>
              <w:rPr>
                <w:rFonts w:ascii="Arial"/>
                <w:sz w:val="21"/>
              </w:rPr>
            </w:pPr>
          </w:p>
        </w:tc>
        <w:tc>
          <w:tcPr>
            <w:tcW w:w="1026" w:type="dxa"/>
            <w:vAlign w:val="top"/>
          </w:tcPr>
          <w:p w14:paraId="237B6E98">
            <w:pPr>
              <w:rPr>
                <w:rFonts w:ascii="Arial"/>
                <w:sz w:val="21"/>
              </w:rPr>
            </w:pPr>
          </w:p>
        </w:tc>
        <w:tc>
          <w:tcPr>
            <w:tcW w:w="5637" w:type="dxa"/>
            <w:vAlign w:val="top"/>
          </w:tcPr>
          <w:p w14:paraId="3B2314E4">
            <w:pPr>
              <w:rPr>
                <w:rFonts w:ascii="Arial"/>
                <w:sz w:val="21"/>
              </w:rPr>
            </w:pPr>
          </w:p>
        </w:tc>
        <w:tc>
          <w:tcPr>
            <w:tcW w:w="1012" w:type="dxa"/>
            <w:vAlign w:val="top"/>
          </w:tcPr>
          <w:p w14:paraId="3CF57E86">
            <w:pPr>
              <w:rPr>
                <w:rFonts w:ascii="Arial"/>
                <w:sz w:val="21"/>
              </w:rPr>
            </w:pPr>
          </w:p>
        </w:tc>
        <w:tc>
          <w:tcPr>
            <w:tcW w:w="695" w:type="dxa"/>
            <w:vAlign w:val="top"/>
          </w:tcPr>
          <w:p w14:paraId="44A7608C">
            <w:pPr>
              <w:rPr>
                <w:rFonts w:ascii="Arial"/>
                <w:sz w:val="21"/>
              </w:rPr>
            </w:pPr>
          </w:p>
        </w:tc>
        <w:tc>
          <w:tcPr>
            <w:tcW w:w="758" w:type="dxa"/>
            <w:vAlign w:val="top"/>
          </w:tcPr>
          <w:p w14:paraId="68ECAF28">
            <w:pPr>
              <w:rPr>
                <w:rFonts w:ascii="Arial"/>
                <w:sz w:val="21"/>
              </w:rPr>
            </w:pPr>
          </w:p>
        </w:tc>
        <w:tc>
          <w:tcPr>
            <w:tcW w:w="2149" w:type="dxa"/>
            <w:vAlign w:val="top"/>
          </w:tcPr>
          <w:p w14:paraId="75AED73E">
            <w:pPr>
              <w:rPr>
                <w:rFonts w:ascii="Arial"/>
                <w:sz w:val="21"/>
              </w:rPr>
            </w:pPr>
          </w:p>
        </w:tc>
      </w:tr>
    </w:tbl>
    <w:p w14:paraId="1D9C752D">
      <w:pPr>
        <w:spacing w:before="126" w:line="220" w:lineRule="auto"/>
        <w:ind w:left="1417"/>
        <w:rPr>
          <w:rFonts w:ascii="仿宋" w:hAnsi="仿宋" w:eastAsia="仿宋" w:cs="仿宋"/>
          <w:sz w:val="18"/>
          <w:szCs w:val="18"/>
        </w:rPr>
      </w:pPr>
      <w:r>
        <w:rPr>
          <w:rFonts w:ascii="仿宋" w:hAnsi="仿宋" w:eastAsia="仿宋" w:cs="仿宋"/>
          <w:spacing w:val="-1"/>
          <w:sz w:val="18"/>
          <w:szCs w:val="18"/>
        </w:rPr>
        <w:t>注：坐标拐点具体以数据库为准</w:t>
      </w:r>
    </w:p>
    <w:p w14:paraId="617F4F7B">
      <w:pPr>
        <w:spacing w:line="220" w:lineRule="auto"/>
        <w:rPr>
          <w:rFonts w:ascii="仿宋" w:hAnsi="仿宋" w:eastAsia="仿宋" w:cs="仿宋"/>
          <w:sz w:val="18"/>
          <w:szCs w:val="18"/>
        </w:rPr>
        <w:sectPr>
          <w:footerReference r:id="rId57" w:type="default"/>
          <w:pgSz w:w="16835" w:h="11904"/>
          <w:pgMar w:top="1011" w:right="292" w:bottom="1287" w:left="753" w:header="0" w:footer="920" w:gutter="0"/>
          <w:cols w:space="720" w:num="1"/>
        </w:sectPr>
      </w:pPr>
    </w:p>
    <w:p w14:paraId="0BB597C7">
      <w:pPr>
        <w:pStyle w:val="2"/>
        <w:spacing w:line="299" w:lineRule="auto"/>
      </w:pPr>
    </w:p>
    <w:p w14:paraId="5D2B2B8C">
      <w:pPr>
        <w:pStyle w:val="2"/>
        <w:spacing w:line="299" w:lineRule="auto"/>
      </w:pPr>
    </w:p>
    <w:p w14:paraId="67CC35E5">
      <w:pPr>
        <w:pStyle w:val="2"/>
        <w:spacing w:before="100" w:line="225" w:lineRule="auto"/>
        <w:ind w:left="692"/>
        <w:outlineLvl w:val="0"/>
        <w:rPr>
          <w:rFonts w:ascii="黑体" w:hAnsi="黑体" w:eastAsia="黑体" w:cs="黑体"/>
          <w:sz w:val="31"/>
          <w:szCs w:val="31"/>
        </w:rPr>
      </w:pPr>
      <w:r>
        <w:rPr>
          <w:rFonts w:ascii="黑体" w:hAnsi="黑体" w:eastAsia="黑体" w:cs="黑体"/>
          <w:spacing w:val="6"/>
          <w:sz w:val="31"/>
          <w:szCs w:val="31"/>
        </w:rPr>
        <w:t>附表</w:t>
      </w:r>
      <w:r>
        <w:rPr>
          <w:rFonts w:ascii="黑体" w:hAnsi="黑体" w:eastAsia="黑体" w:cs="黑体"/>
          <w:spacing w:val="-37"/>
          <w:sz w:val="31"/>
          <w:szCs w:val="31"/>
        </w:rPr>
        <w:t xml:space="preserve"> </w:t>
      </w:r>
      <w:r>
        <w:rPr>
          <w:spacing w:val="6"/>
          <w:sz w:val="31"/>
          <w:szCs w:val="31"/>
        </w:rPr>
        <w:t>8</w:t>
      </w:r>
      <w:r>
        <w:rPr>
          <w:spacing w:val="1"/>
          <w:sz w:val="31"/>
          <w:szCs w:val="31"/>
        </w:rPr>
        <w:t xml:space="preserve">    </w:t>
      </w:r>
      <w:r>
        <w:rPr>
          <w:rFonts w:ascii="黑体" w:hAnsi="黑体" w:eastAsia="黑体" w:cs="黑体"/>
          <w:spacing w:val="6"/>
          <w:sz w:val="31"/>
          <w:szCs w:val="31"/>
        </w:rPr>
        <w:t>阿坝州重点矿种矿山最低开采规模规划表</w:t>
      </w:r>
    </w:p>
    <w:p w14:paraId="6ED3511F">
      <w:pPr>
        <w:spacing w:before="119"/>
      </w:pPr>
    </w:p>
    <w:p w14:paraId="303D83F7">
      <w:pPr>
        <w:spacing w:before="118"/>
      </w:pPr>
    </w:p>
    <w:tbl>
      <w:tblPr>
        <w:tblStyle w:val="5"/>
        <w:tblW w:w="128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4"/>
        <w:gridCol w:w="2106"/>
        <w:gridCol w:w="1492"/>
        <w:gridCol w:w="1477"/>
        <w:gridCol w:w="1760"/>
        <w:gridCol w:w="998"/>
        <w:gridCol w:w="868"/>
        <w:gridCol w:w="1559"/>
        <w:gridCol w:w="1962"/>
      </w:tblGrid>
      <w:tr w14:paraId="3B3BA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14" w:type="dxa"/>
            <w:vMerge w:val="restart"/>
            <w:tcBorders>
              <w:bottom w:val="nil"/>
            </w:tcBorders>
            <w:textDirection w:val="tbRlV"/>
            <w:vAlign w:val="top"/>
          </w:tcPr>
          <w:p w14:paraId="4E4634E4">
            <w:pPr>
              <w:spacing w:before="192" w:line="209" w:lineRule="auto"/>
              <w:ind w:left="43"/>
              <w:rPr>
                <w:rFonts w:ascii="黑体" w:hAnsi="黑体" w:eastAsia="黑体" w:cs="黑体"/>
                <w:sz w:val="21"/>
                <w:szCs w:val="21"/>
              </w:rPr>
            </w:pPr>
            <w:r>
              <w:rPr>
                <w:rFonts w:ascii="黑体" w:hAnsi="黑体" w:eastAsia="黑体" w:cs="黑体"/>
                <w:spacing w:val="4"/>
                <w:sz w:val="21"/>
                <w:szCs w:val="21"/>
              </w:rPr>
              <w:t>序</w:t>
            </w:r>
            <w:r>
              <w:rPr>
                <w:rFonts w:ascii="黑体" w:hAnsi="黑体" w:eastAsia="黑体" w:cs="黑体"/>
                <w:spacing w:val="-8"/>
                <w:sz w:val="21"/>
                <w:szCs w:val="21"/>
              </w:rPr>
              <w:t xml:space="preserve"> </w:t>
            </w:r>
            <w:r>
              <w:rPr>
                <w:rFonts w:ascii="黑体" w:hAnsi="黑体" w:eastAsia="黑体" w:cs="黑体"/>
                <w:spacing w:val="4"/>
                <w:sz w:val="21"/>
                <w:szCs w:val="21"/>
              </w:rPr>
              <w:t>号</w:t>
            </w:r>
          </w:p>
        </w:tc>
        <w:tc>
          <w:tcPr>
            <w:tcW w:w="2106" w:type="dxa"/>
            <w:vMerge w:val="restart"/>
            <w:tcBorders>
              <w:bottom w:val="nil"/>
            </w:tcBorders>
            <w:vAlign w:val="top"/>
          </w:tcPr>
          <w:p w14:paraId="20508AEB">
            <w:pPr>
              <w:spacing w:before="197" w:line="222" w:lineRule="auto"/>
              <w:ind w:left="640"/>
              <w:rPr>
                <w:rFonts w:ascii="黑体" w:hAnsi="黑体" w:eastAsia="黑体" w:cs="黑体"/>
                <w:sz w:val="21"/>
                <w:szCs w:val="21"/>
              </w:rPr>
            </w:pPr>
            <w:r>
              <w:rPr>
                <w:rFonts w:ascii="黑体" w:hAnsi="黑体" w:eastAsia="黑体" w:cs="黑体"/>
                <w:spacing w:val="-1"/>
                <w:sz w:val="21"/>
                <w:szCs w:val="21"/>
              </w:rPr>
              <w:t>矿种名称</w:t>
            </w:r>
          </w:p>
        </w:tc>
        <w:tc>
          <w:tcPr>
            <w:tcW w:w="2969" w:type="dxa"/>
            <w:gridSpan w:val="2"/>
            <w:vAlign w:val="top"/>
          </w:tcPr>
          <w:p w14:paraId="60C49F79">
            <w:pPr>
              <w:spacing w:before="38" w:line="224" w:lineRule="auto"/>
              <w:ind w:left="1077"/>
              <w:rPr>
                <w:rFonts w:ascii="黑体" w:hAnsi="黑体" w:eastAsia="黑体" w:cs="黑体"/>
                <w:sz w:val="21"/>
                <w:szCs w:val="21"/>
              </w:rPr>
            </w:pPr>
            <w:r>
              <w:rPr>
                <w:rFonts w:ascii="黑体" w:hAnsi="黑体" w:eastAsia="黑体" w:cs="黑体"/>
                <w:spacing w:val="-2"/>
                <w:sz w:val="21"/>
                <w:szCs w:val="21"/>
              </w:rPr>
              <w:t>储量规模</w:t>
            </w:r>
          </w:p>
        </w:tc>
        <w:tc>
          <w:tcPr>
            <w:tcW w:w="5185" w:type="dxa"/>
            <w:gridSpan w:val="4"/>
            <w:vAlign w:val="top"/>
          </w:tcPr>
          <w:p w14:paraId="09D09F19">
            <w:pPr>
              <w:spacing w:before="38" w:line="223" w:lineRule="auto"/>
              <w:ind w:left="1765"/>
              <w:rPr>
                <w:rFonts w:ascii="黑体" w:hAnsi="黑体" w:eastAsia="黑体" w:cs="黑体"/>
                <w:sz w:val="21"/>
                <w:szCs w:val="21"/>
              </w:rPr>
            </w:pPr>
            <w:r>
              <w:rPr>
                <w:rFonts w:ascii="黑体" w:hAnsi="黑体" w:eastAsia="黑体" w:cs="黑体"/>
                <w:spacing w:val="-1"/>
                <w:sz w:val="21"/>
                <w:szCs w:val="21"/>
              </w:rPr>
              <w:t>矿山最低开采规模</w:t>
            </w:r>
          </w:p>
        </w:tc>
        <w:tc>
          <w:tcPr>
            <w:tcW w:w="1962" w:type="dxa"/>
            <w:vMerge w:val="restart"/>
            <w:tcBorders>
              <w:bottom w:val="nil"/>
            </w:tcBorders>
            <w:vAlign w:val="top"/>
          </w:tcPr>
          <w:p w14:paraId="7797B70F">
            <w:pPr>
              <w:spacing w:before="196" w:line="223" w:lineRule="auto"/>
              <w:ind w:left="785"/>
              <w:rPr>
                <w:rFonts w:ascii="黑体" w:hAnsi="黑体" w:eastAsia="黑体" w:cs="黑体"/>
                <w:sz w:val="21"/>
                <w:szCs w:val="21"/>
              </w:rPr>
            </w:pPr>
            <w:r>
              <w:rPr>
                <w:rFonts w:ascii="黑体" w:hAnsi="黑体" w:eastAsia="黑体" w:cs="黑体"/>
                <w:spacing w:val="-4"/>
                <w:sz w:val="21"/>
                <w:szCs w:val="21"/>
              </w:rPr>
              <w:t>备注</w:t>
            </w:r>
          </w:p>
        </w:tc>
      </w:tr>
      <w:tr w14:paraId="12A47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14" w:type="dxa"/>
            <w:vMerge w:val="continue"/>
            <w:tcBorders>
              <w:top w:val="nil"/>
            </w:tcBorders>
            <w:textDirection w:val="tbRlV"/>
            <w:vAlign w:val="top"/>
          </w:tcPr>
          <w:p w14:paraId="78898B02">
            <w:pPr>
              <w:rPr>
                <w:rFonts w:ascii="Arial"/>
                <w:sz w:val="21"/>
              </w:rPr>
            </w:pPr>
          </w:p>
        </w:tc>
        <w:tc>
          <w:tcPr>
            <w:tcW w:w="2106" w:type="dxa"/>
            <w:vMerge w:val="continue"/>
            <w:tcBorders>
              <w:top w:val="nil"/>
            </w:tcBorders>
            <w:vAlign w:val="top"/>
          </w:tcPr>
          <w:p w14:paraId="34E1FEF0">
            <w:pPr>
              <w:rPr>
                <w:rFonts w:ascii="Arial"/>
                <w:sz w:val="21"/>
              </w:rPr>
            </w:pPr>
          </w:p>
        </w:tc>
        <w:tc>
          <w:tcPr>
            <w:tcW w:w="1492" w:type="dxa"/>
            <w:vAlign w:val="top"/>
          </w:tcPr>
          <w:p w14:paraId="768EDDD4">
            <w:pPr>
              <w:spacing w:before="34" w:line="223" w:lineRule="auto"/>
              <w:ind w:left="552"/>
              <w:rPr>
                <w:rFonts w:ascii="黑体" w:hAnsi="黑体" w:eastAsia="黑体" w:cs="黑体"/>
                <w:sz w:val="21"/>
                <w:szCs w:val="21"/>
              </w:rPr>
            </w:pPr>
            <w:r>
              <w:rPr>
                <w:rFonts w:ascii="黑体" w:hAnsi="黑体" w:eastAsia="黑体" w:cs="黑体"/>
                <w:spacing w:val="-6"/>
                <w:sz w:val="21"/>
                <w:szCs w:val="21"/>
              </w:rPr>
              <w:t>单位</w:t>
            </w:r>
          </w:p>
        </w:tc>
        <w:tc>
          <w:tcPr>
            <w:tcW w:w="1477" w:type="dxa"/>
            <w:vAlign w:val="top"/>
          </w:tcPr>
          <w:p w14:paraId="39ECCCCA">
            <w:pPr>
              <w:spacing w:before="34" w:line="224" w:lineRule="auto"/>
              <w:ind w:left="125"/>
              <w:rPr>
                <w:rFonts w:ascii="黑体" w:hAnsi="黑体" w:eastAsia="黑体" w:cs="黑体"/>
                <w:sz w:val="21"/>
                <w:szCs w:val="21"/>
              </w:rPr>
            </w:pPr>
            <w:r>
              <w:rPr>
                <w:rFonts w:ascii="黑体" w:hAnsi="黑体" w:eastAsia="黑体" w:cs="黑体"/>
                <w:spacing w:val="-2"/>
                <w:sz w:val="21"/>
                <w:szCs w:val="21"/>
              </w:rPr>
              <w:t>最低储量规模</w:t>
            </w:r>
          </w:p>
        </w:tc>
        <w:tc>
          <w:tcPr>
            <w:tcW w:w="1760" w:type="dxa"/>
            <w:vAlign w:val="top"/>
          </w:tcPr>
          <w:p w14:paraId="62178296">
            <w:pPr>
              <w:spacing w:before="34" w:line="223" w:lineRule="auto"/>
              <w:ind w:left="268"/>
              <w:rPr>
                <w:rFonts w:ascii="黑体" w:hAnsi="黑体" w:eastAsia="黑体" w:cs="黑体"/>
                <w:sz w:val="21"/>
                <w:szCs w:val="21"/>
              </w:rPr>
            </w:pPr>
            <w:r>
              <w:rPr>
                <w:rFonts w:ascii="黑体" w:hAnsi="黑体" w:eastAsia="黑体" w:cs="黑体"/>
                <w:spacing w:val="-2"/>
                <w:sz w:val="21"/>
                <w:szCs w:val="21"/>
              </w:rPr>
              <w:t>开采规模单位</w:t>
            </w:r>
          </w:p>
        </w:tc>
        <w:tc>
          <w:tcPr>
            <w:tcW w:w="998" w:type="dxa"/>
            <w:vAlign w:val="top"/>
          </w:tcPr>
          <w:p w14:paraId="30D403A6">
            <w:pPr>
              <w:spacing w:before="34" w:line="225" w:lineRule="auto"/>
              <w:ind w:left="303"/>
              <w:rPr>
                <w:rFonts w:ascii="黑体" w:hAnsi="黑体" w:eastAsia="黑体" w:cs="黑体"/>
                <w:sz w:val="21"/>
                <w:szCs w:val="21"/>
              </w:rPr>
            </w:pPr>
            <w:r>
              <w:rPr>
                <w:rFonts w:ascii="黑体" w:hAnsi="黑体" w:eastAsia="黑体" w:cs="黑体"/>
                <w:spacing w:val="-3"/>
                <w:sz w:val="21"/>
                <w:szCs w:val="21"/>
              </w:rPr>
              <w:t>大型</w:t>
            </w:r>
          </w:p>
        </w:tc>
        <w:tc>
          <w:tcPr>
            <w:tcW w:w="868" w:type="dxa"/>
            <w:vAlign w:val="top"/>
          </w:tcPr>
          <w:p w14:paraId="07C20486">
            <w:pPr>
              <w:spacing w:before="34" w:line="225" w:lineRule="auto"/>
              <w:ind w:left="258"/>
              <w:rPr>
                <w:rFonts w:ascii="黑体" w:hAnsi="黑体" w:eastAsia="黑体" w:cs="黑体"/>
                <w:sz w:val="21"/>
                <w:szCs w:val="21"/>
              </w:rPr>
            </w:pPr>
            <w:r>
              <w:rPr>
                <w:rFonts w:ascii="黑体" w:hAnsi="黑体" w:eastAsia="黑体" w:cs="黑体"/>
                <w:spacing w:val="-12"/>
                <w:sz w:val="21"/>
                <w:szCs w:val="21"/>
              </w:rPr>
              <w:t>中型</w:t>
            </w:r>
          </w:p>
        </w:tc>
        <w:tc>
          <w:tcPr>
            <w:tcW w:w="1559" w:type="dxa"/>
            <w:vAlign w:val="top"/>
          </w:tcPr>
          <w:p w14:paraId="37E2771C">
            <w:pPr>
              <w:spacing w:before="34" w:line="225" w:lineRule="auto"/>
              <w:ind w:left="591"/>
              <w:rPr>
                <w:rFonts w:ascii="黑体" w:hAnsi="黑体" w:eastAsia="黑体" w:cs="黑体"/>
                <w:sz w:val="21"/>
                <w:szCs w:val="21"/>
              </w:rPr>
            </w:pPr>
            <w:r>
              <w:rPr>
                <w:rFonts w:ascii="黑体" w:hAnsi="黑体" w:eastAsia="黑体" w:cs="黑体"/>
                <w:spacing w:val="-8"/>
                <w:sz w:val="21"/>
                <w:szCs w:val="21"/>
              </w:rPr>
              <w:t>小型</w:t>
            </w:r>
          </w:p>
        </w:tc>
        <w:tc>
          <w:tcPr>
            <w:tcW w:w="1962" w:type="dxa"/>
            <w:vMerge w:val="continue"/>
            <w:tcBorders>
              <w:top w:val="nil"/>
            </w:tcBorders>
            <w:vAlign w:val="top"/>
          </w:tcPr>
          <w:p w14:paraId="0C778175">
            <w:pPr>
              <w:rPr>
                <w:rFonts w:ascii="Arial"/>
                <w:sz w:val="21"/>
              </w:rPr>
            </w:pPr>
          </w:p>
        </w:tc>
      </w:tr>
      <w:tr w14:paraId="29933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14" w:type="dxa"/>
            <w:vAlign w:val="top"/>
          </w:tcPr>
          <w:p w14:paraId="310E29A2">
            <w:pPr>
              <w:spacing w:before="151" w:line="238" w:lineRule="exact"/>
              <w:ind w:left="287"/>
              <w:rPr>
                <w:rFonts w:ascii="楷体" w:hAnsi="楷体" w:eastAsia="楷体" w:cs="楷体"/>
                <w:sz w:val="18"/>
                <w:szCs w:val="18"/>
              </w:rPr>
            </w:pPr>
            <w:r>
              <w:rPr>
                <w:rFonts w:ascii="楷体" w:hAnsi="楷体" w:eastAsia="楷体" w:cs="楷体"/>
                <w:position w:val="1"/>
                <w:sz w:val="18"/>
                <w:szCs w:val="18"/>
              </w:rPr>
              <w:t>1</w:t>
            </w:r>
          </w:p>
        </w:tc>
        <w:tc>
          <w:tcPr>
            <w:tcW w:w="2106" w:type="dxa"/>
            <w:vAlign w:val="top"/>
          </w:tcPr>
          <w:p w14:paraId="591206B3">
            <w:pPr>
              <w:spacing w:before="31" w:line="230" w:lineRule="auto"/>
              <w:ind w:left="875"/>
              <w:rPr>
                <w:rFonts w:ascii="楷体" w:hAnsi="楷体" w:eastAsia="楷体" w:cs="楷体"/>
                <w:sz w:val="18"/>
                <w:szCs w:val="18"/>
              </w:rPr>
            </w:pPr>
            <w:r>
              <w:rPr>
                <w:rFonts w:ascii="楷体" w:hAnsi="楷体" w:eastAsia="楷体" w:cs="楷体"/>
                <w:spacing w:val="1"/>
                <w:sz w:val="18"/>
                <w:szCs w:val="18"/>
              </w:rPr>
              <w:t>铁矿</w:t>
            </w:r>
          </w:p>
          <w:p w14:paraId="6BF31B04">
            <w:pPr>
              <w:spacing w:before="15" w:line="208" w:lineRule="auto"/>
              <w:ind w:left="111"/>
              <w:rPr>
                <w:rFonts w:ascii="楷体" w:hAnsi="楷体" w:eastAsia="楷体" w:cs="楷体"/>
                <w:sz w:val="18"/>
                <w:szCs w:val="18"/>
              </w:rPr>
            </w:pPr>
            <w:r>
              <w:rPr>
                <w:rFonts w:ascii="楷体" w:hAnsi="楷体" w:eastAsia="楷体" w:cs="楷体"/>
                <w:sz w:val="18"/>
                <w:szCs w:val="18"/>
              </w:rPr>
              <w:t>（地下开采/露天开采）</w:t>
            </w:r>
          </w:p>
        </w:tc>
        <w:tc>
          <w:tcPr>
            <w:tcW w:w="1492" w:type="dxa"/>
            <w:vAlign w:val="top"/>
          </w:tcPr>
          <w:p w14:paraId="2740E831">
            <w:pPr>
              <w:spacing w:before="151" w:line="230" w:lineRule="auto"/>
              <w:ind w:left="342"/>
              <w:rPr>
                <w:rFonts w:ascii="楷体" w:hAnsi="楷体" w:eastAsia="楷体" w:cs="楷体"/>
                <w:sz w:val="18"/>
                <w:szCs w:val="18"/>
              </w:rPr>
            </w:pPr>
            <w:r>
              <w:rPr>
                <w:rFonts w:ascii="楷体" w:hAnsi="楷体" w:eastAsia="楷体" w:cs="楷体"/>
                <w:spacing w:val="-2"/>
                <w:sz w:val="18"/>
                <w:szCs w:val="18"/>
              </w:rPr>
              <w:t>矿石</w:t>
            </w:r>
            <w:r>
              <w:rPr>
                <w:rFonts w:ascii="楷体" w:hAnsi="楷体" w:eastAsia="楷体" w:cs="楷体"/>
                <w:spacing w:val="12"/>
                <w:sz w:val="18"/>
                <w:szCs w:val="18"/>
              </w:rPr>
              <w:t xml:space="preserve"> </w:t>
            </w:r>
            <w:r>
              <w:rPr>
                <w:rFonts w:ascii="楷体" w:hAnsi="楷体" w:eastAsia="楷体" w:cs="楷体"/>
                <w:spacing w:val="-2"/>
                <w:sz w:val="18"/>
                <w:szCs w:val="18"/>
              </w:rPr>
              <w:t>万吨</w:t>
            </w:r>
          </w:p>
        </w:tc>
        <w:tc>
          <w:tcPr>
            <w:tcW w:w="1477" w:type="dxa"/>
            <w:vAlign w:val="top"/>
          </w:tcPr>
          <w:p w14:paraId="7DF7FAC5">
            <w:pPr>
              <w:spacing w:before="151" w:line="235" w:lineRule="auto"/>
              <w:ind w:left="446"/>
              <w:rPr>
                <w:rFonts w:ascii="楷体" w:hAnsi="楷体" w:eastAsia="楷体" w:cs="楷体"/>
                <w:sz w:val="18"/>
                <w:szCs w:val="18"/>
              </w:rPr>
            </w:pPr>
            <w:r>
              <w:rPr>
                <w:rFonts w:ascii="楷体" w:hAnsi="楷体" w:eastAsia="楷体" w:cs="楷体"/>
                <w:spacing w:val="-3"/>
                <w:sz w:val="18"/>
                <w:szCs w:val="18"/>
              </w:rPr>
              <w:t>100/300</w:t>
            </w:r>
          </w:p>
        </w:tc>
        <w:tc>
          <w:tcPr>
            <w:tcW w:w="1760" w:type="dxa"/>
            <w:vAlign w:val="top"/>
          </w:tcPr>
          <w:p w14:paraId="024E47FB">
            <w:pPr>
              <w:spacing w:before="151" w:line="219" w:lineRule="auto"/>
              <w:ind w:left="391"/>
              <w:rPr>
                <w:rFonts w:ascii="楷体" w:hAnsi="楷体" w:eastAsia="楷体" w:cs="楷体"/>
                <w:sz w:val="18"/>
                <w:szCs w:val="18"/>
              </w:rPr>
            </w:pPr>
            <w:r>
              <w:rPr>
                <w:rFonts w:ascii="楷体" w:hAnsi="楷体" w:eastAsia="楷体" w:cs="楷体"/>
                <w:sz w:val="18"/>
                <w:szCs w:val="18"/>
              </w:rPr>
              <w:t>矿石万吨/年</w:t>
            </w:r>
          </w:p>
        </w:tc>
        <w:tc>
          <w:tcPr>
            <w:tcW w:w="998" w:type="dxa"/>
            <w:vAlign w:val="top"/>
          </w:tcPr>
          <w:p w14:paraId="22AF1F70">
            <w:pPr>
              <w:spacing w:before="151" w:line="235" w:lineRule="auto"/>
              <w:ind w:left="209"/>
              <w:rPr>
                <w:rFonts w:ascii="楷体" w:hAnsi="楷体" w:eastAsia="楷体" w:cs="楷体"/>
                <w:sz w:val="18"/>
                <w:szCs w:val="18"/>
              </w:rPr>
            </w:pPr>
            <w:r>
              <w:rPr>
                <w:rFonts w:ascii="楷体" w:hAnsi="楷体" w:eastAsia="楷体" w:cs="楷体"/>
                <w:spacing w:val="-3"/>
                <w:sz w:val="18"/>
                <w:szCs w:val="18"/>
              </w:rPr>
              <w:t>100/200</w:t>
            </w:r>
          </w:p>
        </w:tc>
        <w:tc>
          <w:tcPr>
            <w:tcW w:w="868" w:type="dxa"/>
            <w:vAlign w:val="top"/>
          </w:tcPr>
          <w:p w14:paraId="6FAACA39">
            <w:pPr>
              <w:spacing w:before="151" w:line="235" w:lineRule="auto"/>
              <w:ind w:left="240"/>
              <w:rPr>
                <w:rFonts w:ascii="楷体" w:hAnsi="楷体" w:eastAsia="楷体" w:cs="楷体"/>
                <w:sz w:val="18"/>
                <w:szCs w:val="18"/>
              </w:rPr>
            </w:pPr>
            <w:r>
              <w:rPr>
                <w:rFonts w:ascii="楷体" w:hAnsi="楷体" w:eastAsia="楷体" w:cs="楷体"/>
                <w:spacing w:val="-5"/>
                <w:sz w:val="18"/>
                <w:szCs w:val="18"/>
              </w:rPr>
              <w:t>30/60</w:t>
            </w:r>
          </w:p>
        </w:tc>
        <w:tc>
          <w:tcPr>
            <w:tcW w:w="1559" w:type="dxa"/>
            <w:vAlign w:val="top"/>
          </w:tcPr>
          <w:p w14:paraId="25609C3B">
            <w:pPr>
              <w:spacing w:before="151" w:line="235" w:lineRule="auto"/>
              <w:ind w:left="579"/>
              <w:rPr>
                <w:rFonts w:ascii="楷体" w:hAnsi="楷体" w:eastAsia="楷体" w:cs="楷体"/>
                <w:sz w:val="18"/>
                <w:szCs w:val="18"/>
              </w:rPr>
            </w:pPr>
            <w:r>
              <w:rPr>
                <w:rFonts w:ascii="楷体" w:hAnsi="楷体" w:eastAsia="楷体" w:cs="楷体"/>
                <w:spacing w:val="-3"/>
                <w:sz w:val="18"/>
                <w:szCs w:val="18"/>
              </w:rPr>
              <w:t>10/30</w:t>
            </w:r>
          </w:p>
        </w:tc>
        <w:tc>
          <w:tcPr>
            <w:tcW w:w="1962" w:type="dxa"/>
            <w:vAlign w:val="top"/>
          </w:tcPr>
          <w:p w14:paraId="3ABDF415">
            <w:pPr>
              <w:rPr>
                <w:rFonts w:ascii="Arial"/>
                <w:sz w:val="21"/>
              </w:rPr>
            </w:pPr>
          </w:p>
        </w:tc>
      </w:tr>
      <w:tr w14:paraId="35A64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614" w:type="dxa"/>
            <w:vAlign w:val="top"/>
          </w:tcPr>
          <w:p w14:paraId="22A33909">
            <w:pPr>
              <w:spacing w:before="128" w:line="238" w:lineRule="exact"/>
              <w:ind w:left="282"/>
              <w:rPr>
                <w:rFonts w:ascii="楷体" w:hAnsi="楷体" w:eastAsia="楷体" w:cs="楷体"/>
                <w:sz w:val="18"/>
                <w:szCs w:val="18"/>
              </w:rPr>
            </w:pPr>
            <w:r>
              <w:rPr>
                <w:rFonts w:ascii="楷体" w:hAnsi="楷体" w:eastAsia="楷体" w:cs="楷体"/>
                <w:position w:val="1"/>
                <w:sz w:val="18"/>
                <w:szCs w:val="18"/>
              </w:rPr>
              <w:t>2</w:t>
            </w:r>
          </w:p>
        </w:tc>
        <w:tc>
          <w:tcPr>
            <w:tcW w:w="2106" w:type="dxa"/>
            <w:vAlign w:val="top"/>
          </w:tcPr>
          <w:p w14:paraId="789784B8">
            <w:pPr>
              <w:spacing w:before="128" w:line="230" w:lineRule="auto"/>
              <w:ind w:left="966"/>
              <w:rPr>
                <w:rFonts w:ascii="楷体" w:hAnsi="楷体" w:eastAsia="楷体" w:cs="楷体"/>
                <w:sz w:val="18"/>
                <w:szCs w:val="18"/>
              </w:rPr>
            </w:pPr>
            <w:r>
              <w:rPr>
                <w:rFonts w:ascii="楷体" w:hAnsi="楷体" w:eastAsia="楷体" w:cs="楷体"/>
                <w:sz w:val="18"/>
                <w:szCs w:val="18"/>
              </w:rPr>
              <w:t>锰</w:t>
            </w:r>
          </w:p>
        </w:tc>
        <w:tc>
          <w:tcPr>
            <w:tcW w:w="1492" w:type="dxa"/>
            <w:vAlign w:val="top"/>
          </w:tcPr>
          <w:p w14:paraId="07989DFE">
            <w:pPr>
              <w:spacing w:before="127" w:line="230" w:lineRule="auto"/>
              <w:ind w:left="342"/>
              <w:rPr>
                <w:rFonts w:ascii="楷体" w:hAnsi="楷体" w:eastAsia="楷体" w:cs="楷体"/>
                <w:sz w:val="18"/>
                <w:szCs w:val="18"/>
              </w:rPr>
            </w:pPr>
            <w:r>
              <w:rPr>
                <w:rFonts w:ascii="楷体" w:hAnsi="楷体" w:eastAsia="楷体" w:cs="楷体"/>
                <w:spacing w:val="-2"/>
                <w:sz w:val="18"/>
                <w:szCs w:val="18"/>
              </w:rPr>
              <w:t>矿石</w:t>
            </w:r>
            <w:r>
              <w:rPr>
                <w:rFonts w:ascii="楷体" w:hAnsi="楷体" w:eastAsia="楷体" w:cs="楷体"/>
                <w:spacing w:val="12"/>
                <w:sz w:val="18"/>
                <w:szCs w:val="18"/>
              </w:rPr>
              <w:t xml:space="preserve"> </w:t>
            </w:r>
            <w:r>
              <w:rPr>
                <w:rFonts w:ascii="楷体" w:hAnsi="楷体" w:eastAsia="楷体" w:cs="楷体"/>
                <w:spacing w:val="-2"/>
                <w:sz w:val="18"/>
                <w:szCs w:val="18"/>
              </w:rPr>
              <w:t>万吨</w:t>
            </w:r>
          </w:p>
        </w:tc>
        <w:tc>
          <w:tcPr>
            <w:tcW w:w="1477" w:type="dxa"/>
            <w:vAlign w:val="top"/>
          </w:tcPr>
          <w:p w14:paraId="535106A3">
            <w:pPr>
              <w:spacing w:before="128" w:line="239" w:lineRule="auto"/>
              <w:ind w:left="675"/>
              <w:rPr>
                <w:rFonts w:ascii="楷体" w:hAnsi="楷体" w:eastAsia="楷体" w:cs="楷体"/>
                <w:sz w:val="18"/>
                <w:szCs w:val="18"/>
              </w:rPr>
            </w:pPr>
            <w:r>
              <w:rPr>
                <w:rFonts w:ascii="楷体" w:hAnsi="楷体" w:eastAsia="楷体" w:cs="楷体"/>
                <w:spacing w:val="-10"/>
                <w:sz w:val="18"/>
                <w:szCs w:val="18"/>
              </w:rPr>
              <w:t>30</w:t>
            </w:r>
          </w:p>
        </w:tc>
        <w:tc>
          <w:tcPr>
            <w:tcW w:w="1760" w:type="dxa"/>
            <w:vAlign w:val="top"/>
          </w:tcPr>
          <w:p w14:paraId="377B5EDE">
            <w:pPr>
              <w:spacing w:before="127" w:line="230" w:lineRule="auto"/>
              <w:ind w:left="482"/>
              <w:rPr>
                <w:rFonts w:ascii="楷体" w:hAnsi="楷体" w:eastAsia="楷体" w:cs="楷体"/>
                <w:sz w:val="18"/>
                <w:szCs w:val="18"/>
              </w:rPr>
            </w:pPr>
            <w:r>
              <w:rPr>
                <w:rFonts w:ascii="楷体" w:hAnsi="楷体" w:eastAsia="楷体" w:cs="楷体"/>
                <w:spacing w:val="-3"/>
                <w:sz w:val="18"/>
                <w:szCs w:val="18"/>
              </w:rPr>
              <w:t>矿石</w:t>
            </w:r>
            <w:r>
              <w:rPr>
                <w:rFonts w:ascii="楷体" w:hAnsi="楷体" w:eastAsia="楷体" w:cs="楷体"/>
                <w:spacing w:val="14"/>
                <w:sz w:val="18"/>
                <w:szCs w:val="18"/>
              </w:rPr>
              <w:t xml:space="preserve"> </w:t>
            </w:r>
            <w:r>
              <w:rPr>
                <w:rFonts w:ascii="楷体" w:hAnsi="楷体" w:eastAsia="楷体" w:cs="楷体"/>
                <w:spacing w:val="-3"/>
                <w:sz w:val="18"/>
                <w:szCs w:val="18"/>
              </w:rPr>
              <w:t>万吨</w:t>
            </w:r>
          </w:p>
        </w:tc>
        <w:tc>
          <w:tcPr>
            <w:tcW w:w="998" w:type="dxa"/>
            <w:vAlign w:val="top"/>
          </w:tcPr>
          <w:p w14:paraId="16065E27">
            <w:pPr>
              <w:spacing w:before="128" w:line="239" w:lineRule="auto"/>
              <w:ind w:left="434"/>
              <w:rPr>
                <w:rFonts w:ascii="楷体" w:hAnsi="楷体" w:eastAsia="楷体" w:cs="楷体"/>
                <w:sz w:val="18"/>
                <w:szCs w:val="18"/>
              </w:rPr>
            </w:pPr>
            <w:r>
              <w:rPr>
                <w:rFonts w:ascii="楷体" w:hAnsi="楷体" w:eastAsia="楷体" w:cs="楷体"/>
                <w:spacing w:val="-9"/>
                <w:sz w:val="18"/>
                <w:szCs w:val="18"/>
              </w:rPr>
              <w:t>10</w:t>
            </w:r>
          </w:p>
        </w:tc>
        <w:tc>
          <w:tcPr>
            <w:tcW w:w="868" w:type="dxa"/>
            <w:vAlign w:val="top"/>
          </w:tcPr>
          <w:p w14:paraId="00910F9D">
            <w:pPr>
              <w:spacing w:before="128" w:line="241" w:lineRule="auto"/>
              <w:ind w:left="412"/>
              <w:rPr>
                <w:rFonts w:ascii="楷体" w:hAnsi="楷体" w:eastAsia="楷体" w:cs="楷体"/>
                <w:sz w:val="18"/>
                <w:szCs w:val="18"/>
              </w:rPr>
            </w:pPr>
            <w:r>
              <w:rPr>
                <w:rFonts w:ascii="楷体" w:hAnsi="楷体" w:eastAsia="楷体" w:cs="楷体"/>
                <w:sz w:val="18"/>
                <w:szCs w:val="18"/>
              </w:rPr>
              <w:t>6</w:t>
            </w:r>
          </w:p>
        </w:tc>
        <w:tc>
          <w:tcPr>
            <w:tcW w:w="1559" w:type="dxa"/>
            <w:vAlign w:val="top"/>
          </w:tcPr>
          <w:p w14:paraId="360AB69E">
            <w:pPr>
              <w:spacing w:before="127" w:line="242" w:lineRule="auto"/>
              <w:ind w:left="764"/>
              <w:rPr>
                <w:rFonts w:ascii="楷体" w:hAnsi="楷体" w:eastAsia="楷体" w:cs="楷体"/>
                <w:sz w:val="18"/>
                <w:szCs w:val="18"/>
              </w:rPr>
            </w:pPr>
            <w:r>
              <w:rPr>
                <w:rFonts w:ascii="楷体" w:hAnsi="楷体" w:eastAsia="楷体" w:cs="楷体"/>
                <w:sz w:val="18"/>
                <w:szCs w:val="18"/>
              </w:rPr>
              <w:t>3</w:t>
            </w:r>
          </w:p>
        </w:tc>
        <w:tc>
          <w:tcPr>
            <w:tcW w:w="1962" w:type="dxa"/>
            <w:vAlign w:val="top"/>
          </w:tcPr>
          <w:p w14:paraId="7AA45E80">
            <w:pPr>
              <w:rPr>
                <w:rFonts w:ascii="Arial"/>
                <w:sz w:val="21"/>
              </w:rPr>
            </w:pPr>
          </w:p>
        </w:tc>
      </w:tr>
      <w:tr w14:paraId="35CAF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14" w:type="dxa"/>
            <w:vAlign w:val="top"/>
          </w:tcPr>
          <w:p w14:paraId="29A9447C">
            <w:pPr>
              <w:spacing w:before="152" w:line="242" w:lineRule="auto"/>
              <w:ind w:left="289"/>
              <w:rPr>
                <w:rFonts w:ascii="楷体" w:hAnsi="楷体" w:eastAsia="楷体" w:cs="楷体"/>
                <w:sz w:val="18"/>
                <w:szCs w:val="18"/>
              </w:rPr>
            </w:pPr>
            <w:r>
              <w:rPr>
                <w:rFonts w:ascii="楷体" w:hAnsi="楷体" w:eastAsia="楷体" w:cs="楷体"/>
                <w:sz w:val="18"/>
                <w:szCs w:val="18"/>
              </w:rPr>
              <w:t>3</w:t>
            </w:r>
          </w:p>
        </w:tc>
        <w:tc>
          <w:tcPr>
            <w:tcW w:w="2106" w:type="dxa"/>
            <w:vAlign w:val="top"/>
          </w:tcPr>
          <w:p w14:paraId="515B8163">
            <w:pPr>
              <w:spacing w:before="32" w:line="230" w:lineRule="auto"/>
              <w:ind w:left="604"/>
              <w:rPr>
                <w:rFonts w:ascii="楷体" w:hAnsi="楷体" w:eastAsia="楷体" w:cs="楷体"/>
                <w:sz w:val="18"/>
                <w:szCs w:val="18"/>
              </w:rPr>
            </w:pPr>
            <w:r>
              <w:rPr>
                <w:rFonts w:ascii="楷体" w:hAnsi="楷体" w:eastAsia="楷体" w:cs="楷体"/>
                <w:sz w:val="18"/>
                <w:szCs w:val="18"/>
              </w:rPr>
              <w:t>金（岩金）</w:t>
            </w:r>
          </w:p>
          <w:p w14:paraId="49CE36BF">
            <w:pPr>
              <w:spacing w:before="15" w:line="207" w:lineRule="auto"/>
              <w:ind w:left="111"/>
              <w:rPr>
                <w:rFonts w:ascii="楷体" w:hAnsi="楷体" w:eastAsia="楷体" w:cs="楷体"/>
                <w:sz w:val="18"/>
                <w:szCs w:val="18"/>
              </w:rPr>
            </w:pPr>
            <w:r>
              <w:rPr>
                <w:rFonts w:ascii="楷体" w:hAnsi="楷体" w:eastAsia="楷体" w:cs="楷体"/>
                <w:sz w:val="18"/>
                <w:szCs w:val="18"/>
              </w:rPr>
              <w:t>（地下开采/露天开采）</w:t>
            </w:r>
          </w:p>
        </w:tc>
        <w:tc>
          <w:tcPr>
            <w:tcW w:w="1492" w:type="dxa"/>
            <w:vAlign w:val="top"/>
          </w:tcPr>
          <w:p w14:paraId="6B15A49D">
            <w:pPr>
              <w:spacing w:before="152" w:line="219" w:lineRule="auto"/>
              <w:ind w:left="432"/>
              <w:rPr>
                <w:rFonts w:ascii="楷体" w:hAnsi="楷体" w:eastAsia="楷体" w:cs="楷体"/>
                <w:sz w:val="18"/>
                <w:szCs w:val="18"/>
              </w:rPr>
            </w:pPr>
            <w:r>
              <w:rPr>
                <w:rFonts w:ascii="楷体" w:hAnsi="楷体" w:eastAsia="楷体" w:cs="楷体"/>
                <w:spacing w:val="1"/>
                <w:sz w:val="18"/>
                <w:szCs w:val="18"/>
              </w:rPr>
              <w:t>金属 吨</w:t>
            </w:r>
          </w:p>
        </w:tc>
        <w:tc>
          <w:tcPr>
            <w:tcW w:w="1477" w:type="dxa"/>
            <w:vAlign w:val="top"/>
          </w:tcPr>
          <w:p w14:paraId="49B26888">
            <w:pPr>
              <w:spacing w:before="152" w:line="235" w:lineRule="auto"/>
              <w:ind w:left="442"/>
              <w:rPr>
                <w:rFonts w:ascii="楷体" w:hAnsi="楷体" w:eastAsia="楷体" w:cs="楷体"/>
                <w:sz w:val="18"/>
                <w:szCs w:val="18"/>
              </w:rPr>
            </w:pPr>
            <w:r>
              <w:rPr>
                <w:rFonts w:ascii="楷体" w:hAnsi="楷体" w:eastAsia="楷体" w:cs="楷体"/>
                <w:spacing w:val="-2"/>
                <w:sz w:val="18"/>
                <w:szCs w:val="18"/>
              </w:rPr>
              <w:t>2.5/7.5</w:t>
            </w:r>
          </w:p>
        </w:tc>
        <w:tc>
          <w:tcPr>
            <w:tcW w:w="1760" w:type="dxa"/>
            <w:vAlign w:val="top"/>
          </w:tcPr>
          <w:p w14:paraId="7C4BED64">
            <w:pPr>
              <w:spacing w:before="152" w:line="219" w:lineRule="auto"/>
              <w:ind w:left="391"/>
              <w:rPr>
                <w:rFonts w:ascii="楷体" w:hAnsi="楷体" w:eastAsia="楷体" w:cs="楷体"/>
                <w:sz w:val="18"/>
                <w:szCs w:val="18"/>
              </w:rPr>
            </w:pPr>
            <w:r>
              <w:rPr>
                <w:rFonts w:ascii="楷体" w:hAnsi="楷体" w:eastAsia="楷体" w:cs="楷体"/>
                <w:sz w:val="18"/>
                <w:szCs w:val="18"/>
              </w:rPr>
              <w:t>矿石万吨/年</w:t>
            </w:r>
          </w:p>
        </w:tc>
        <w:tc>
          <w:tcPr>
            <w:tcW w:w="998" w:type="dxa"/>
            <w:vAlign w:val="top"/>
          </w:tcPr>
          <w:p w14:paraId="236B8FFA">
            <w:pPr>
              <w:spacing w:before="152" w:line="235" w:lineRule="auto"/>
              <w:ind w:left="300"/>
              <w:rPr>
                <w:rFonts w:ascii="楷体" w:hAnsi="楷体" w:eastAsia="楷体" w:cs="楷体"/>
                <w:sz w:val="18"/>
                <w:szCs w:val="18"/>
              </w:rPr>
            </w:pPr>
            <w:r>
              <w:rPr>
                <w:rFonts w:ascii="楷体" w:hAnsi="楷体" w:eastAsia="楷体" w:cs="楷体"/>
                <w:spacing w:val="-4"/>
                <w:sz w:val="18"/>
                <w:szCs w:val="18"/>
              </w:rPr>
              <w:t>15/15</w:t>
            </w:r>
          </w:p>
        </w:tc>
        <w:tc>
          <w:tcPr>
            <w:tcW w:w="868" w:type="dxa"/>
            <w:vAlign w:val="top"/>
          </w:tcPr>
          <w:p w14:paraId="1D90CED9">
            <w:pPr>
              <w:spacing w:before="152" w:line="235" w:lineRule="auto"/>
              <w:ind w:left="321"/>
              <w:rPr>
                <w:rFonts w:ascii="楷体" w:hAnsi="楷体" w:eastAsia="楷体" w:cs="楷体"/>
                <w:sz w:val="18"/>
                <w:szCs w:val="18"/>
              </w:rPr>
            </w:pPr>
            <w:r>
              <w:rPr>
                <w:rFonts w:ascii="楷体" w:hAnsi="楷体" w:eastAsia="楷体" w:cs="楷体"/>
                <w:spacing w:val="-5"/>
                <w:sz w:val="18"/>
                <w:szCs w:val="18"/>
              </w:rPr>
              <w:t>6/9</w:t>
            </w:r>
          </w:p>
        </w:tc>
        <w:tc>
          <w:tcPr>
            <w:tcW w:w="1559" w:type="dxa"/>
            <w:vAlign w:val="top"/>
          </w:tcPr>
          <w:p w14:paraId="37F373DA">
            <w:pPr>
              <w:spacing w:before="152" w:line="235" w:lineRule="auto"/>
              <w:ind w:left="673"/>
              <w:rPr>
                <w:rFonts w:ascii="楷体" w:hAnsi="楷体" w:eastAsia="楷体" w:cs="楷体"/>
                <w:sz w:val="18"/>
                <w:szCs w:val="18"/>
              </w:rPr>
            </w:pPr>
            <w:r>
              <w:rPr>
                <w:rFonts w:ascii="楷体" w:hAnsi="楷体" w:eastAsia="楷体" w:cs="楷体"/>
                <w:spacing w:val="-5"/>
                <w:sz w:val="18"/>
                <w:szCs w:val="18"/>
              </w:rPr>
              <w:t>3/-</w:t>
            </w:r>
          </w:p>
        </w:tc>
        <w:tc>
          <w:tcPr>
            <w:tcW w:w="1962" w:type="dxa"/>
            <w:vAlign w:val="top"/>
          </w:tcPr>
          <w:p w14:paraId="5EAFBEFA">
            <w:pPr>
              <w:rPr>
                <w:rFonts w:ascii="Arial"/>
                <w:sz w:val="21"/>
              </w:rPr>
            </w:pPr>
          </w:p>
        </w:tc>
      </w:tr>
      <w:tr w14:paraId="7711C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14" w:type="dxa"/>
            <w:vAlign w:val="top"/>
          </w:tcPr>
          <w:p w14:paraId="7D1E5B64">
            <w:pPr>
              <w:spacing w:before="133" w:line="238" w:lineRule="exact"/>
              <w:ind w:left="282"/>
              <w:rPr>
                <w:rFonts w:ascii="楷体" w:hAnsi="楷体" w:eastAsia="楷体" w:cs="楷体"/>
                <w:sz w:val="18"/>
                <w:szCs w:val="18"/>
              </w:rPr>
            </w:pPr>
            <w:r>
              <w:rPr>
                <w:rFonts w:ascii="楷体" w:hAnsi="楷体" w:eastAsia="楷体" w:cs="楷体"/>
                <w:position w:val="1"/>
                <w:sz w:val="18"/>
                <w:szCs w:val="18"/>
              </w:rPr>
              <w:t>4</w:t>
            </w:r>
          </w:p>
        </w:tc>
        <w:tc>
          <w:tcPr>
            <w:tcW w:w="2106" w:type="dxa"/>
            <w:vAlign w:val="top"/>
          </w:tcPr>
          <w:p w14:paraId="2634DA7B">
            <w:pPr>
              <w:spacing w:before="133" w:line="230" w:lineRule="auto"/>
              <w:ind w:left="875"/>
              <w:rPr>
                <w:rFonts w:ascii="楷体" w:hAnsi="楷体" w:eastAsia="楷体" w:cs="楷体"/>
                <w:sz w:val="18"/>
                <w:szCs w:val="18"/>
              </w:rPr>
            </w:pPr>
            <w:r>
              <w:rPr>
                <w:rFonts w:ascii="楷体" w:hAnsi="楷体" w:eastAsia="楷体" w:cs="楷体"/>
                <w:spacing w:val="1"/>
                <w:sz w:val="18"/>
                <w:szCs w:val="18"/>
              </w:rPr>
              <w:t>锂矿</w:t>
            </w:r>
          </w:p>
        </w:tc>
        <w:tc>
          <w:tcPr>
            <w:tcW w:w="1492" w:type="dxa"/>
            <w:vAlign w:val="top"/>
          </w:tcPr>
          <w:p w14:paraId="0091661B">
            <w:pPr>
              <w:spacing w:before="134" w:line="230" w:lineRule="auto"/>
              <w:ind w:left="372"/>
              <w:rPr>
                <w:rFonts w:ascii="楷体" w:hAnsi="楷体" w:eastAsia="楷体" w:cs="楷体"/>
                <w:sz w:val="18"/>
                <w:szCs w:val="18"/>
              </w:rPr>
            </w:pPr>
            <w:r>
              <w:rPr>
                <w:rFonts w:ascii="楷体" w:hAnsi="楷体" w:eastAsia="楷体" w:cs="楷体"/>
                <w:spacing w:val="-3"/>
                <w:sz w:val="18"/>
                <w:szCs w:val="18"/>
              </w:rPr>
              <w:t>Li</w:t>
            </w:r>
            <w:r>
              <w:rPr>
                <w:rFonts w:ascii="楷体" w:hAnsi="楷体" w:eastAsia="楷体" w:cs="楷体"/>
                <w:spacing w:val="-3"/>
                <w:position w:val="-1"/>
                <w:sz w:val="9"/>
                <w:szCs w:val="9"/>
              </w:rPr>
              <w:t>2</w:t>
            </w:r>
            <w:r>
              <w:rPr>
                <w:rFonts w:ascii="楷体" w:hAnsi="楷体" w:eastAsia="楷体" w:cs="楷体"/>
                <w:spacing w:val="-3"/>
                <w:sz w:val="18"/>
                <w:szCs w:val="18"/>
              </w:rPr>
              <w:t>O</w:t>
            </w:r>
            <w:r>
              <w:rPr>
                <w:rFonts w:ascii="楷体" w:hAnsi="楷体" w:eastAsia="楷体" w:cs="楷体"/>
                <w:spacing w:val="15"/>
                <w:sz w:val="18"/>
                <w:szCs w:val="18"/>
              </w:rPr>
              <w:t xml:space="preserve"> </w:t>
            </w:r>
            <w:r>
              <w:rPr>
                <w:rFonts w:ascii="楷体" w:hAnsi="楷体" w:eastAsia="楷体" w:cs="楷体"/>
                <w:spacing w:val="-3"/>
                <w:sz w:val="18"/>
                <w:szCs w:val="18"/>
              </w:rPr>
              <w:t>万吨</w:t>
            </w:r>
          </w:p>
        </w:tc>
        <w:tc>
          <w:tcPr>
            <w:tcW w:w="1477" w:type="dxa"/>
            <w:vAlign w:val="top"/>
          </w:tcPr>
          <w:p w14:paraId="37990BD3">
            <w:pPr>
              <w:spacing w:before="133" w:line="241" w:lineRule="auto"/>
              <w:ind w:left="713"/>
              <w:rPr>
                <w:rFonts w:ascii="楷体" w:hAnsi="楷体" w:eastAsia="楷体" w:cs="楷体"/>
                <w:sz w:val="18"/>
                <w:szCs w:val="18"/>
              </w:rPr>
            </w:pPr>
            <w:r>
              <w:rPr>
                <w:rFonts w:ascii="楷体" w:hAnsi="楷体" w:eastAsia="楷体" w:cs="楷体"/>
                <w:sz w:val="18"/>
                <w:szCs w:val="18"/>
              </w:rPr>
              <w:t>5</w:t>
            </w:r>
          </w:p>
        </w:tc>
        <w:tc>
          <w:tcPr>
            <w:tcW w:w="1760" w:type="dxa"/>
            <w:vAlign w:val="top"/>
          </w:tcPr>
          <w:p w14:paraId="476E43A0">
            <w:pPr>
              <w:spacing w:before="133" w:line="219" w:lineRule="auto"/>
              <w:ind w:left="391"/>
              <w:rPr>
                <w:rFonts w:ascii="楷体" w:hAnsi="楷体" w:eastAsia="楷体" w:cs="楷体"/>
                <w:sz w:val="18"/>
                <w:szCs w:val="18"/>
              </w:rPr>
            </w:pPr>
            <w:r>
              <w:rPr>
                <w:rFonts w:ascii="楷体" w:hAnsi="楷体" w:eastAsia="楷体" w:cs="楷体"/>
                <w:sz w:val="18"/>
                <w:szCs w:val="18"/>
              </w:rPr>
              <w:t>矿石万吨/年</w:t>
            </w:r>
          </w:p>
        </w:tc>
        <w:tc>
          <w:tcPr>
            <w:tcW w:w="998" w:type="dxa"/>
            <w:vAlign w:val="top"/>
          </w:tcPr>
          <w:p w14:paraId="75A1F854">
            <w:pPr>
              <w:spacing w:before="133" w:line="239" w:lineRule="auto"/>
              <w:ind w:left="391"/>
              <w:rPr>
                <w:rFonts w:ascii="楷体" w:hAnsi="楷体" w:eastAsia="楷体" w:cs="楷体"/>
                <w:sz w:val="18"/>
                <w:szCs w:val="18"/>
              </w:rPr>
            </w:pPr>
            <w:r>
              <w:rPr>
                <w:rFonts w:ascii="楷体" w:hAnsi="楷体" w:eastAsia="楷体" w:cs="楷体"/>
                <w:spacing w:val="-7"/>
                <w:sz w:val="18"/>
                <w:szCs w:val="18"/>
              </w:rPr>
              <w:t>100</w:t>
            </w:r>
          </w:p>
        </w:tc>
        <w:tc>
          <w:tcPr>
            <w:tcW w:w="868" w:type="dxa"/>
            <w:vAlign w:val="top"/>
          </w:tcPr>
          <w:p w14:paraId="531334DB">
            <w:pPr>
              <w:spacing w:before="133" w:line="239" w:lineRule="auto"/>
              <w:ind w:left="375"/>
              <w:rPr>
                <w:rFonts w:ascii="楷体" w:hAnsi="楷体" w:eastAsia="楷体" w:cs="楷体"/>
                <w:sz w:val="18"/>
                <w:szCs w:val="18"/>
              </w:rPr>
            </w:pPr>
            <w:r>
              <w:rPr>
                <w:rFonts w:ascii="楷体" w:hAnsi="楷体" w:eastAsia="楷体" w:cs="楷体"/>
                <w:spacing w:val="-11"/>
                <w:sz w:val="18"/>
                <w:szCs w:val="18"/>
              </w:rPr>
              <w:t>30</w:t>
            </w:r>
          </w:p>
        </w:tc>
        <w:tc>
          <w:tcPr>
            <w:tcW w:w="1559" w:type="dxa"/>
            <w:vAlign w:val="top"/>
          </w:tcPr>
          <w:p w14:paraId="67C0AB79">
            <w:pPr>
              <w:spacing w:before="133" w:line="235" w:lineRule="auto"/>
              <w:ind w:left="756"/>
              <w:rPr>
                <w:rFonts w:ascii="楷体" w:hAnsi="楷体" w:eastAsia="楷体" w:cs="楷体"/>
                <w:sz w:val="18"/>
                <w:szCs w:val="18"/>
              </w:rPr>
            </w:pPr>
            <w:r>
              <w:rPr>
                <w:rFonts w:ascii="楷体" w:hAnsi="楷体" w:eastAsia="楷体" w:cs="楷体"/>
                <w:sz w:val="18"/>
                <w:szCs w:val="18"/>
              </w:rPr>
              <w:t>/</w:t>
            </w:r>
          </w:p>
        </w:tc>
        <w:tc>
          <w:tcPr>
            <w:tcW w:w="1962" w:type="dxa"/>
            <w:vAlign w:val="top"/>
          </w:tcPr>
          <w:p w14:paraId="7F3635B2">
            <w:pPr>
              <w:rPr>
                <w:rFonts w:ascii="Arial"/>
                <w:sz w:val="21"/>
              </w:rPr>
            </w:pPr>
          </w:p>
        </w:tc>
      </w:tr>
      <w:tr w14:paraId="5FFC0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614" w:type="dxa"/>
            <w:vAlign w:val="top"/>
          </w:tcPr>
          <w:p w14:paraId="500603F6">
            <w:pPr>
              <w:spacing w:before="133" w:line="241" w:lineRule="auto"/>
              <w:ind w:left="284"/>
              <w:rPr>
                <w:rFonts w:ascii="楷体" w:hAnsi="楷体" w:eastAsia="楷体" w:cs="楷体"/>
                <w:sz w:val="18"/>
                <w:szCs w:val="18"/>
              </w:rPr>
            </w:pPr>
            <w:r>
              <w:rPr>
                <w:rFonts w:ascii="楷体" w:hAnsi="楷体" w:eastAsia="楷体" w:cs="楷体"/>
                <w:sz w:val="18"/>
                <w:szCs w:val="18"/>
              </w:rPr>
              <w:t>5</w:t>
            </w:r>
          </w:p>
        </w:tc>
        <w:tc>
          <w:tcPr>
            <w:tcW w:w="2106" w:type="dxa"/>
            <w:vAlign w:val="top"/>
          </w:tcPr>
          <w:p w14:paraId="02C4A37D">
            <w:pPr>
              <w:spacing w:before="134" w:line="220" w:lineRule="auto"/>
              <w:ind w:left="874"/>
              <w:rPr>
                <w:rFonts w:ascii="楷体" w:hAnsi="楷体" w:eastAsia="楷体" w:cs="楷体"/>
                <w:sz w:val="18"/>
                <w:szCs w:val="18"/>
              </w:rPr>
            </w:pPr>
            <w:r>
              <w:rPr>
                <w:rFonts w:ascii="楷体" w:hAnsi="楷体" w:eastAsia="楷体" w:cs="楷体"/>
                <w:spacing w:val="1"/>
                <w:sz w:val="18"/>
                <w:szCs w:val="18"/>
              </w:rPr>
              <w:t>钨矿</w:t>
            </w:r>
          </w:p>
        </w:tc>
        <w:tc>
          <w:tcPr>
            <w:tcW w:w="1492" w:type="dxa"/>
            <w:vAlign w:val="top"/>
          </w:tcPr>
          <w:p w14:paraId="35761AF3">
            <w:pPr>
              <w:spacing w:before="133" w:line="219" w:lineRule="auto"/>
              <w:ind w:left="341"/>
              <w:rPr>
                <w:rFonts w:ascii="楷体" w:hAnsi="楷体" w:eastAsia="楷体" w:cs="楷体"/>
                <w:sz w:val="18"/>
                <w:szCs w:val="18"/>
              </w:rPr>
            </w:pPr>
            <w:r>
              <w:rPr>
                <w:rFonts w:ascii="楷体" w:hAnsi="楷体" w:eastAsia="楷体" w:cs="楷体"/>
                <w:spacing w:val="-2"/>
                <w:sz w:val="18"/>
                <w:szCs w:val="18"/>
              </w:rPr>
              <w:t>金属</w:t>
            </w:r>
            <w:r>
              <w:rPr>
                <w:rFonts w:ascii="楷体" w:hAnsi="楷体" w:eastAsia="楷体" w:cs="楷体"/>
                <w:spacing w:val="12"/>
                <w:sz w:val="18"/>
                <w:szCs w:val="18"/>
              </w:rPr>
              <w:t xml:space="preserve"> </w:t>
            </w:r>
            <w:r>
              <w:rPr>
                <w:rFonts w:ascii="楷体" w:hAnsi="楷体" w:eastAsia="楷体" w:cs="楷体"/>
                <w:spacing w:val="-2"/>
                <w:sz w:val="18"/>
                <w:szCs w:val="18"/>
              </w:rPr>
              <w:t>万吨</w:t>
            </w:r>
          </w:p>
        </w:tc>
        <w:tc>
          <w:tcPr>
            <w:tcW w:w="1477" w:type="dxa"/>
            <w:vAlign w:val="top"/>
          </w:tcPr>
          <w:p w14:paraId="4CB83E52">
            <w:pPr>
              <w:spacing w:before="133" w:line="238" w:lineRule="exact"/>
              <w:ind w:left="715"/>
              <w:rPr>
                <w:rFonts w:ascii="楷体" w:hAnsi="楷体" w:eastAsia="楷体" w:cs="楷体"/>
                <w:sz w:val="18"/>
                <w:szCs w:val="18"/>
              </w:rPr>
            </w:pPr>
            <w:r>
              <w:rPr>
                <w:rFonts w:ascii="楷体" w:hAnsi="楷体" w:eastAsia="楷体" w:cs="楷体"/>
                <w:position w:val="1"/>
                <w:sz w:val="18"/>
                <w:szCs w:val="18"/>
              </w:rPr>
              <w:t>1</w:t>
            </w:r>
          </w:p>
        </w:tc>
        <w:tc>
          <w:tcPr>
            <w:tcW w:w="1760" w:type="dxa"/>
            <w:vAlign w:val="top"/>
          </w:tcPr>
          <w:p w14:paraId="67CA9D48">
            <w:pPr>
              <w:spacing w:before="133" w:line="230" w:lineRule="auto"/>
              <w:ind w:left="482"/>
              <w:rPr>
                <w:rFonts w:ascii="楷体" w:hAnsi="楷体" w:eastAsia="楷体" w:cs="楷体"/>
                <w:sz w:val="18"/>
                <w:szCs w:val="18"/>
              </w:rPr>
            </w:pPr>
            <w:r>
              <w:rPr>
                <w:rFonts w:ascii="楷体" w:hAnsi="楷体" w:eastAsia="楷体" w:cs="楷体"/>
                <w:spacing w:val="-3"/>
                <w:sz w:val="18"/>
                <w:szCs w:val="18"/>
              </w:rPr>
              <w:t>矿石</w:t>
            </w:r>
            <w:r>
              <w:rPr>
                <w:rFonts w:ascii="楷体" w:hAnsi="楷体" w:eastAsia="楷体" w:cs="楷体"/>
                <w:spacing w:val="14"/>
                <w:sz w:val="18"/>
                <w:szCs w:val="18"/>
              </w:rPr>
              <w:t xml:space="preserve"> </w:t>
            </w:r>
            <w:r>
              <w:rPr>
                <w:rFonts w:ascii="楷体" w:hAnsi="楷体" w:eastAsia="楷体" w:cs="楷体"/>
                <w:spacing w:val="-3"/>
                <w:sz w:val="18"/>
                <w:szCs w:val="18"/>
              </w:rPr>
              <w:t>万吨</w:t>
            </w:r>
          </w:p>
        </w:tc>
        <w:tc>
          <w:tcPr>
            <w:tcW w:w="998" w:type="dxa"/>
            <w:vAlign w:val="top"/>
          </w:tcPr>
          <w:p w14:paraId="57CB14C4">
            <w:pPr>
              <w:spacing w:before="133" w:line="239" w:lineRule="auto"/>
              <w:ind w:left="391"/>
              <w:rPr>
                <w:rFonts w:ascii="楷体" w:hAnsi="楷体" w:eastAsia="楷体" w:cs="楷体"/>
                <w:sz w:val="18"/>
                <w:szCs w:val="18"/>
              </w:rPr>
            </w:pPr>
            <w:r>
              <w:rPr>
                <w:rFonts w:ascii="楷体" w:hAnsi="楷体" w:eastAsia="楷体" w:cs="楷体"/>
                <w:spacing w:val="-7"/>
                <w:sz w:val="18"/>
                <w:szCs w:val="18"/>
              </w:rPr>
              <w:t>100</w:t>
            </w:r>
          </w:p>
        </w:tc>
        <w:tc>
          <w:tcPr>
            <w:tcW w:w="868" w:type="dxa"/>
            <w:vAlign w:val="top"/>
          </w:tcPr>
          <w:p w14:paraId="52B4C481">
            <w:pPr>
              <w:spacing w:before="133" w:line="239" w:lineRule="auto"/>
              <w:ind w:left="375"/>
              <w:rPr>
                <w:rFonts w:ascii="楷体" w:hAnsi="楷体" w:eastAsia="楷体" w:cs="楷体"/>
                <w:sz w:val="18"/>
                <w:szCs w:val="18"/>
              </w:rPr>
            </w:pPr>
            <w:r>
              <w:rPr>
                <w:rFonts w:ascii="楷体" w:hAnsi="楷体" w:eastAsia="楷体" w:cs="楷体"/>
                <w:spacing w:val="-11"/>
                <w:sz w:val="18"/>
                <w:szCs w:val="18"/>
              </w:rPr>
              <w:t>30</w:t>
            </w:r>
          </w:p>
        </w:tc>
        <w:tc>
          <w:tcPr>
            <w:tcW w:w="1559" w:type="dxa"/>
            <w:vAlign w:val="top"/>
          </w:tcPr>
          <w:p w14:paraId="6FF43916">
            <w:pPr>
              <w:spacing w:before="133" w:line="235" w:lineRule="auto"/>
              <w:ind w:left="756"/>
              <w:rPr>
                <w:rFonts w:ascii="楷体" w:hAnsi="楷体" w:eastAsia="楷体" w:cs="楷体"/>
                <w:sz w:val="18"/>
                <w:szCs w:val="18"/>
              </w:rPr>
            </w:pPr>
            <w:r>
              <w:rPr>
                <w:rFonts w:ascii="楷体" w:hAnsi="楷体" w:eastAsia="楷体" w:cs="楷体"/>
                <w:sz w:val="18"/>
                <w:szCs w:val="18"/>
              </w:rPr>
              <w:t>/</w:t>
            </w:r>
          </w:p>
        </w:tc>
        <w:tc>
          <w:tcPr>
            <w:tcW w:w="1962" w:type="dxa"/>
            <w:vAlign w:val="top"/>
          </w:tcPr>
          <w:p w14:paraId="1169EBD1">
            <w:pPr>
              <w:rPr>
                <w:rFonts w:ascii="Arial"/>
                <w:sz w:val="21"/>
              </w:rPr>
            </w:pPr>
          </w:p>
        </w:tc>
      </w:tr>
      <w:tr w14:paraId="17FB2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14" w:type="dxa"/>
            <w:vAlign w:val="top"/>
          </w:tcPr>
          <w:p w14:paraId="207E0C08">
            <w:pPr>
              <w:spacing w:before="52" w:line="221" w:lineRule="auto"/>
              <w:ind w:left="284"/>
              <w:rPr>
                <w:rFonts w:ascii="楷体" w:hAnsi="楷体" w:eastAsia="楷体" w:cs="楷体"/>
                <w:sz w:val="18"/>
                <w:szCs w:val="18"/>
              </w:rPr>
            </w:pPr>
            <w:r>
              <w:rPr>
                <w:rFonts w:ascii="楷体" w:hAnsi="楷体" w:eastAsia="楷体" w:cs="楷体"/>
                <w:sz w:val="18"/>
                <w:szCs w:val="18"/>
              </w:rPr>
              <w:t>6</w:t>
            </w:r>
          </w:p>
        </w:tc>
        <w:tc>
          <w:tcPr>
            <w:tcW w:w="2106" w:type="dxa"/>
            <w:vAlign w:val="top"/>
          </w:tcPr>
          <w:p w14:paraId="749E6578">
            <w:pPr>
              <w:spacing w:before="52" w:line="221" w:lineRule="auto"/>
              <w:ind w:left="877"/>
              <w:rPr>
                <w:rFonts w:ascii="楷体" w:hAnsi="楷体" w:eastAsia="楷体" w:cs="楷体"/>
                <w:sz w:val="18"/>
                <w:szCs w:val="18"/>
              </w:rPr>
            </w:pPr>
            <w:r>
              <w:rPr>
                <w:rFonts w:ascii="楷体" w:hAnsi="楷体" w:eastAsia="楷体" w:cs="楷体"/>
                <w:sz w:val="18"/>
                <w:szCs w:val="18"/>
              </w:rPr>
              <w:t>钼矿</w:t>
            </w:r>
          </w:p>
        </w:tc>
        <w:tc>
          <w:tcPr>
            <w:tcW w:w="1492" w:type="dxa"/>
            <w:vAlign w:val="top"/>
          </w:tcPr>
          <w:p w14:paraId="2B3C8D92">
            <w:pPr>
              <w:spacing w:before="52" w:line="219" w:lineRule="auto"/>
              <w:ind w:left="432"/>
              <w:rPr>
                <w:rFonts w:ascii="楷体" w:hAnsi="楷体" w:eastAsia="楷体" w:cs="楷体"/>
                <w:sz w:val="18"/>
                <w:szCs w:val="18"/>
              </w:rPr>
            </w:pPr>
            <w:r>
              <w:rPr>
                <w:rFonts w:ascii="楷体" w:hAnsi="楷体" w:eastAsia="楷体" w:cs="楷体"/>
                <w:spacing w:val="1"/>
                <w:sz w:val="18"/>
                <w:szCs w:val="18"/>
              </w:rPr>
              <w:t>金属 吨</w:t>
            </w:r>
          </w:p>
        </w:tc>
        <w:tc>
          <w:tcPr>
            <w:tcW w:w="1477" w:type="dxa"/>
            <w:vAlign w:val="top"/>
          </w:tcPr>
          <w:p w14:paraId="3CBCE8B8">
            <w:pPr>
              <w:spacing w:before="52" w:line="221" w:lineRule="auto"/>
              <w:ind w:left="584"/>
              <w:rPr>
                <w:rFonts w:ascii="楷体" w:hAnsi="楷体" w:eastAsia="楷体" w:cs="楷体"/>
                <w:sz w:val="18"/>
                <w:szCs w:val="18"/>
              </w:rPr>
            </w:pPr>
            <w:r>
              <w:rPr>
                <w:rFonts w:ascii="楷体" w:hAnsi="楷体" w:eastAsia="楷体" w:cs="楷体"/>
                <w:spacing w:val="-5"/>
                <w:sz w:val="18"/>
                <w:szCs w:val="18"/>
              </w:rPr>
              <w:t>3000</w:t>
            </w:r>
          </w:p>
        </w:tc>
        <w:tc>
          <w:tcPr>
            <w:tcW w:w="1760" w:type="dxa"/>
            <w:vAlign w:val="top"/>
          </w:tcPr>
          <w:p w14:paraId="0FD40139">
            <w:pPr>
              <w:spacing w:before="52" w:line="219" w:lineRule="auto"/>
              <w:ind w:left="482"/>
              <w:rPr>
                <w:rFonts w:ascii="楷体" w:hAnsi="楷体" w:eastAsia="楷体" w:cs="楷体"/>
                <w:sz w:val="18"/>
                <w:szCs w:val="18"/>
              </w:rPr>
            </w:pPr>
            <w:r>
              <w:rPr>
                <w:rFonts w:ascii="楷体" w:hAnsi="楷体" w:eastAsia="楷体" w:cs="楷体"/>
                <w:spacing w:val="-3"/>
                <w:sz w:val="18"/>
                <w:szCs w:val="18"/>
              </w:rPr>
              <w:t>金属</w:t>
            </w:r>
            <w:r>
              <w:rPr>
                <w:rFonts w:ascii="楷体" w:hAnsi="楷体" w:eastAsia="楷体" w:cs="楷体"/>
                <w:spacing w:val="14"/>
                <w:sz w:val="18"/>
                <w:szCs w:val="18"/>
              </w:rPr>
              <w:t xml:space="preserve"> </w:t>
            </w:r>
            <w:r>
              <w:rPr>
                <w:rFonts w:ascii="楷体" w:hAnsi="楷体" w:eastAsia="楷体" w:cs="楷体"/>
                <w:spacing w:val="-3"/>
                <w:sz w:val="18"/>
                <w:szCs w:val="18"/>
              </w:rPr>
              <w:t>万吨</w:t>
            </w:r>
          </w:p>
        </w:tc>
        <w:tc>
          <w:tcPr>
            <w:tcW w:w="998" w:type="dxa"/>
            <w:vAlign w:val="top"/>
          </w:tcPr>
          <w:p w14:paraId="6A387C45">
            <w:pPr>
              <w:spacing w:before="52" w:line="221" w:lineRule="auto"/>
              <w:ind w:left="391"/>
              <w:rPr>
                <w:rFonts w:ascii="楷体" w:hAnsi="楷体" w:eastAsia="楷体" w:cs="楷体"/>
                <w:sz w:val="18"/>
                <w:szCs w:val="18"/>
              </w:rPr>
            </w:pPr>
            <w:r>
              <w:rPr>
                <w:rFonts w:ascii="楷体" w:hAnsi="楷体" w:eastAsia="楷体" w:cs="楷体"/>
                <w:spacing w:val="-7"/>
                <w:sz w:val="18"/>
                <w:szCs w:val="18"/>
              </w:rPr>
              <w:t>100</w:t>
            </w:r>
          </w:p>
        </w:tc>
        <w:tc>
          <w:tcPr>
            <w:tcW w:w="868" w:type="dxa"/>
            <w:vAlign w:val="top"/>
          </w:tcPr>
          <w:p w14:paraId="7CD5E5DD">
            <w:pPr>
              <w:spacing w:before="52" w:line="221" w:lineRule="auto"/>
              <w:ind w:left="375"/>
              <w:rPr>
                <w:rFonts w:ascii="楷体" w:hAnsi="楷体" w:eastAsia="楷体" w:cs="楷体"/>
                <w:sz w:val="18"/>
                <w:szCs w:val="18"/>
              </w:rPr>
            </w:pPr>
            <w:r>
              <w:rPr>
                <w:rFonts w:ascii="楷体" w:hAnsi="楷体" w:eastAsia="楷体" w:cs="楷体"/>
                <w:spacing w:val="-11"/>
                <w:sz w:val="18"/>
                <w:szCs w:val="18"/>
              </w:rPr>
              <w:t>30</w:t>
            </w:r>
          </w:p>
        </w:tc>
        <w:tc>
          <w:tcPr>
            <w:tcW w:w="1559" w:type="dxa"/>
            <w:vAlign w:val="top"/>
          </w:tcPr>
          <w:p w14:paraId="575F3FC1">
            <w:pPr>
              <w:spacing w:before="52" w:line="221" w:lineRule="auto"/>
              <w:ind w:left="713"/>
              <w:rPr>
                <w:rFonts w:ascii="楷体" w:hAnsi="楷体" w:eastAsia="楷体" w:cs="楷体"/>
                <w:sz w:val="18"/>
                <w:szCs w:val="18"/>
              </w:rPr>
            </w:pPr>
            <w:r>
              <w:rPr>
                <w:rFonts w:ascii="楷体" w:hAnsi="楷体" w:eastAsia="楷体" w:cs="楷体"/>
                <w:spacing w:val="-9"/>
                <w:sz w:val="18"/>
                <w:szCs w:val="18"/>
              </w:rPr>
              <w:t>10</w:t>
            </w:r>
          </w:p>
        </w:tc>
        <w:tc>
          <w:tcPr>
            <w:tcW w:w="1962" w:type="dxa"/>
            <w:vAlign w:val="top"/>
          </w:tcPr>
          <w:p w14:paraId="2BE07C39">
            <w:pPr>
              <w:rPr>
                <w:rFonts w:ascii="Arial"/>
                <w:sz w:val="21"/>
              </w:rPr>
            </w:pPr>
          </w:p>
        </w:tc>
      </w:tr>
      <w:tr w14:paraId="2C8CB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614" w:type="dxa"/>
            <w:vAlign w:val="top"/>
          </w:tcPr>
          <w:p w14:paraId="399FE830">
            <w:pPr>
              <w:spacing w:before="47" w:line="221" w:lineRule="auto"/>
              <w:ind w:left="284"/>
              <w:rPr>
                <w:rFonts w:ascii="楷体" w:hAnsi="楷体" w:eastAsia="楷体" w:cs="楷体"/>
                <w:sz w:val="18"/>
                <w:szCs w:val="18"/>
              </w:rPr>
            </w:pPr>
            <w:r>
              <w:rPr>
                <w:rFonts w:ascii="楷体" w:hAnsi="楷体" w:eastAsia="楷体" w:cs="楷体"/>
                <w:sz w:val="18"/>
                <w:szCs w:val="18"/>
              </w:rPr>
              <w:t>7</w:t>
            </w:r>
          </w:p>
        </w:tc>
        <w:tc>
          <w:tcPr>
            <w:tcW w:w="2106" w:type="dxa"/>
            <w:vAlign w:val="top"/>
          </w:tcPr>
          <w:p w14:paraId="5D7FBA97">
            <w:pPr>
              <w:spacing w:before="47" w:line="221" w:lineRule="auto"/>
              <w:ind w:left="298"/>
              <w:rPr>
                <w:rFonts w:ascii="楷体" w:hAnsi="楷体" w:eastAsia="楷体" w:cs="楷体"/>
                <w:sz w:val="18"/>
                <w:szCs w:val="18"/>
              </w:rPr>
            </w:pPr>
            <w:r>
              <w:rPr>
                <w:rFonts w:ascii="楷体" w:hAnsi="楷体" w:eastAsia="楷体" w:cs="楷体"/>
                <w:spacing w:val="-1"/>
                <w:sz w:val="18"/>
                <w:szCs w:val="18"/>
              </w:rPr>
              <w:t>地热（热水/热气）</w:t>
            </w:r>
          </w:p>
        </w:tc>
        <w:tc>
          <w:tcPr>
            <w:tcW w:w="1492" w:type="dxa"/>
            <w:vAlign w:val="top"/>
          </w:tcPr>
          <w:p w14:paraId="323A1543">
            <w:pPr>
              <w:spacing w:before="47" w:line="221" w:lineRule="auto"/>
              <w:ind w:left="131"/>
              <w:rPr>
                <w:rFonts w:ascii="楷体" w:hAnsi="楷体" w:eastAsia="楷体" w:cs="楷体"/>
                <w:sz w:val="18"/>
                <w:szCs w:val="18"/>
              </w:rPr>
            </w:pPr>
            <w:r>
              <w:rPr>
                <w:rFonts w:ascii="楷体" w:hAnsi="楷体" w:eastAsia="楷体" w:cs="楷体"/>
                <w:spacing w:val="-15"/>
                <w:sz w:val="18"/>
                <w:szCs w:val="18"/>
              </w:rPr>
              <w:t>电（热）能</w:t>
            </w:r>
            <w:r>
              <w:rPr>
                <w:rFonts w:ascii="楷体" w:hAnsi="楷体" w:eastAsia="楷体" w:cs="楷体"/>
                <w:spacing w:val="17"/>
                <w:sz w:val="18"/>
                <w:szCs w:val="18"/>
              </w:rPr>
              <w:t xml:space="preserve"> </w:t>
            </w:r>
            <w:r>
              <w:rPr>
                <w:rFonts w:ascii="楷体" w:hAnsi="楷体" w:eastAsia="楷体" w:cs="楷体"/>
                <w:spacing w:val="-15"/>
                <w:sz w:val="18"/>
                <w:szCs w:val="18"/>
              </w:rPr>
              <w:t>兆瓦</w:t>
            </w:r>
          </w:p>
        </w:tc>
        <w:tc>
          <w:tcPr>
            <w:tcW w:w="1477" w:type="dxa"/>
            <w:vAlign w:val="top"/>
          </w:tcPr>
          <w:p w14:paraId="5830D445">
            <w:pPr>
              <w:spacing w:before="47" w:line="221" w:lineRule="auto"/>
              <w:ind w:left="624"/>
              <w:rPr>
                <w:rFonts w:ascii="楷体" w:hAnsi="楷体" w:eastAsia="楷体" w:cs="楷体"/>
                <w:sz w:val="18"/>
                <w:szCs w:val="18"/>
              </w:rPr>
            </w:pPr>
            <w:r>
              <w:rPr>
                <w:rFonts w:ascii="楷体" w:hAnsi="楷体" w:eastAsia="楷体" w:cs="楷体"/>
                <w:spacing w:val="-6"/>
                <w:sz w:val="18"/>
                <w:szCs w:val="18"/>
              </w:rPr>
              <w:t>1/1</w:t>
            </w:r>
          </w:p>
        </w:tc>
        <w:tc>
          <w:tcPr>
            <w:tcW w:w="1760" w:type="dxa"/>
            <w:vAlign w:val="top"/>
          </w:tcPr>
          <w:p w14:paraId="73BE0F57">
            <w:pPr>
              <w:spacing w:before="47" w:line="219" w:lineRule="auto"/>
              <w:ind w:left="404"/>
              <w:rPr>
                <w:rFonts w:ascii="楷体" w:hAnsi="楷体" w:eastAsia="楷体" w:cs="楷体"/>
                <w:sz w:val="18"/>
                <w:szCs w:val="18"/>
              </w:rPr>
            </w:pPr>
            <w:r>
              <w:rPr>
                <w:rFonts w:ascii="楷体" w:hAnsi="楷体" w:eastAsia="楷体" w:cs="楷体"/>
                <w:spacing w:val="-2"/>
                <w:sz w:val="18"/>
                <w:szCs w:val="18"/>
              </w:rPr>
              <w:t>万立方米/年</w:t>
            </w:r>
          </w:p>
        </w:tc>
        <w:tc>
          <w:tcPr>
            <w:tcW w:w="998" w:type="dxa"/>
            <w:vAlign w:val="top"/>
          </w:tcPr>
          <w:p w14:paraId="0CB1524E">
            <w:pPr>
              <w:spacing w:before="47" w:line="221" w:lineRule="auto"/>
              <w:ind w:left="295"/>
              <w:rPr>
                <w:rFonts w:ascii="楷体" w:hAnsi="楷体" w:eastAsia="楷体" w:cs="楷体"/>
                <w:sz w:val="18"/>
                <w:szCs w:val="18"/>
              </w:rPr>
            </w:pPr>
            <w:r>
              <w:rPr>
                <w:rFonts w:ascii="楷体" w:hAnsi="楷体" w:eastAsia="楷体" w:cs="楷体"/>
                <w:spacing w:val="-3"/>
                <w:sz w:val="18"/>
                <w:szCs w:val="18"/>
              </w:rPr>
              <w:t>20/10</w:t>
            </w:r>
          </w:p>
        </w:tc>
        <w:tc>
          <w:tcPr>
            <w:tcW w:w="868" w:type="dxa"/>
            <w:vAlign w:val="top"/>
          </w:tcPr>
          <w:p w14:paraId="069609EA">
            <w:pPr>
              <w:spacing w:before="47" w:line="221" w:lineRule="auto"/>
              <w:ind w:left="281"/>
              <w:rPr>
                <w:rFonts w:ascii="楷体" w:hAnsi="楷体" w:eastAsia="楷体" w:cs="楷体"/>
                <w:sz w:val="18"/>
                <w:szCs w:val="18"/>
              </w:rPr>
            </w:pPr>
            <w:r>
              <w:rPr>
                <w:rFonts w:ascii="楷体" w:hAnsi="楷体" w:eastAsia="楷体" w:cs="楷体"/>
                <w:spacing w:val="-5"/>
                <w:sz w:val="18"/>
                <w:szCs w:val="18"/>
              </w:rPr>
              <w:t>10/5</w:t>
            </w:r>
          </w:p>
        </w:tc>
        <w:tc>
          <w:tcPr>
            <w:tcW w:w="1559" w:type="dxa"/>
            <w:vAlign w:val="top"/>
          </w:tcPr>
          <w:p w14:paraId="4A91FBD5">
            <w:pPr>
              <w:spacing w:before="47" w:line="221" w:lineRule="auto"/>
              <w:ind w:left="579"/>
              <w:rPr>
                <w:rFonts w:ascii="楷体" w:hAnsi="楷体" w:eastAsia="楷体" w:cs="楷体"/>
                <w:sz w:val="18"/>
                <w:szCs w:val="18"/>
              </w:rPr>
            </w:pPr>
            <w:r>
              <w:rPr>
                <w:rFonts w:ascii="楷体" w:hAnsi="楷体" w:eastAsia="楷体" w:cs="楷体"/>
                <w:spacing w:val="-3"/>
                <w:sz w:val="18"/>
                <w:szCs w:val="18"/>
              </w:rPr>
              <w:t>1/0.5</w:t>
            </w:r>
          </w:p>
        </w:tc>
        <w:tc>
          <w:tcPr>
            <w:tcW w:w="1962" w:type="dxa"/>
            <w:vAlign w:val="top"/>
          </w:tcPr>
          <w:p w14:paraId="3A9D8E20">
            <w:pPr>
              <w:rPr>
                <w:rFonts w:ascii="Arial"/>
                <w:sz w:val="21"/>
              </w:rPr>
            </w:pPr>
          </w:p>
        </w:tc>
      </w:tr>
      <w:tr w14:paraId="6183C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14" w:type="dxa"/>
            <w:vAlign w:val="top"/>
          </w:tcPr>
          <w:p w14:paraId="36FB4E0D">
            <w:pPr>
              <w:spacing w:before="153" w:line="242" w:lineRule="auto"/>
              <w:ind w:left="284"/>
              <w:rPr>
                <w:rFonts w:ascii="楷体" w:hAnsi="楷体" w:eastAsia="楷体" w:cs="楷体"/>
                <w:sz w:val="18"/>
                <w:szCs w:val="18"/>
              </w:rPr>
            </w:pPr>
            <w:r>
              <w:rPr>
                <w:rFonts w:ascii="楷体" w:hAnsi="楷体" w:eastAsia="楷体" w:cs="楷体"/>
                <w:sz w:val="18"/>
                <w:szCs w:val="18"/>
              </w:rPr>
              <w:t>8</w:t>
            </w:r>
          </w:p>
        </w:tc>
        <w:tc>
          <w:tcPr>
            <w:tcW w:w="2106" w:type="dxa"/>
            <w:vAlign w:val="top"/>
          </w:tcPr>
          <w:p w14:paraId="5DB77910">
            <w:pPr>
              <w:spacing w:before="153" w:line="218" w:lineRule="auto"/>
              <w:ind w:left="787"/>
              <w:rPr>
                <w:rFonts w:ascii="楷体" w:hAnsi="楷体" w:eastAsia="楷体" w:cs="楷体"/>
                <w:sz w:val="18"/>
                <w:szCs w:val="18"/>
              </w:rPr>
            </w:pPr>
            <w:r>
              <w:rPr>
                <w:rFonts w:ascii="楷体" w:hAnsi="楷体" w:eastAsia="楷体" w:cs="楷体"/>
                <w:sz w:val="18"/>
                <w:szCs w:val="18"/>
              </w:rPr>
              <w:t>矿泉水</w:t>
            </w:r>
          </w:p>
        </w:tc>
        <w:tc>
          <w:tcPr>
            <w:tcW w:w="1492" w:type="dxa"/>
            <w:vAlign w:val="top"/>
          </w:tcPr>
          <w:p w14:paraId="32C284A7">
            <w:pPr>
              <w:spacing w:before="33" w:line="226" w:lineRule="auto"/>
              <w:ind w:left="165" w:right="153" w:firstLine="141"/>
              <w:rPr>
                <w:rFonts w:ascii="楷体" w:hAnsi="楷体" w:eastAsia="楷体" w:cs="楷体"/>
                <w:sz w:val="18"/>
                <w:szCs w:val="18"/>
              </w:rPr>
            </w:pPr>
            <w:r>
              <w:rPr>
                <w:rFonts w:ascii="楷体" w:hAnsi="楷体" w:eastAsia="楷体" w:cs="楷体"/>
                <w:spacing w:val="-2"/>
                <w:sz w:val="18"/>
                <w:szCs w:val="18"/>
              </w:rPr>
              <w:t>允许开采量</w:t>
            </w:r>
            <w:r>
              <w:rPr>
                <w:rFonts w:ascii="楷体" w:hAnsi="楷体" w:eastAsia="楷体" w:cs="楷体"/>
                <w:spacing w:val="-1"/>
                <w:sz w:val="18"/>
                <w:szCs w:val="18"/>
              </w:rPr>
              <w:t>（立方米/日）</w:t>
            </w:r>
          </w:p>
        </w:tc>
        <w:tc>
          <w:tcPr>
            <w:tcW w:w="1477" w:type="dxa"/>
            <w:vAlign w:val="top"/>
          </w:tcPr>
          <w:p w14:paraId="7D8DB202">
            <w:pPr>
              <w:spacing w:before="153" w:line="239" w:lineRule="auto"/>
              <w:ind w:left="670"/>
              <w:rPr>
                <w:rFonts w:ascii="楷体" w:hAnsi="楷体" w:eastAsia="楷体" w:cs="楷体"/>
                <w:sz w:val="18"/>
                <w:szCs w:val="18"/>
              </w:rPr>
            </w:pPr>
            <w:r>
              <w:rPr>
                <w:rFonts w:ascii="楷体" w:hAnsi="楷体" w:eastAsia="楷体" w:cs="楷体"/>
                <w:spacing w:val="-8"/>
                <w:sz w:val="18"/>
                <w:szCs w:val="18"/>
              </w:rPr>
              <w:t>50</w:t>
            </w:r>
          </w:p>
        </w:tc>
        <w:tc>
          <w:tcPr>
            <w:tcW w:w="1760" w:type="dxa"/>
            <w:vAlign w:val="top"/>
          </w:tcPr>
          <w:p w14:paraId="3F8629FC">
            <w:pPr>
              <w:spacing w:before="154" w:line="222" w:lineRule="auto"/>
              <w:ind w:left="538"/>
              <w:rPr>
                <w:rFonts w:ascii="楷体" w:hAnsi="楷体" w:eastAsia="楷体" w:cs="楷体"/>
                <w:sz w:val="18"/>
                <w:szCs w:val="18"/>
              </w:rPr>
            </w:pPr>
            <w:r>
              <w:rPr>
                <w:rFonts w:ascii="楷体" w:hAnsi="楷体" w:eastAsia="楷体" w:cs="楷体"/>
                <w:spacing w:val="-3"/>
                <w:sz w:val="18"/>
                <w:szCs w:val="18"/>
              </w:rPr>
              <w:t>万立方米</w:t>
            </w:r>
          </w:p>
        </w:tc>
        <w:tc>
          <w:tcPr>
            <w:tcW w:w="998" w:type="dxa"/>
            <w:vAlign w:val="top"/>
          </w:tcPr>
          <w:p w14:paraId="65E2B428">
            <w:pPr>
              <w:spacing w:before="153" w:line="239" w:lineRule="auto"/>
              <w:ind w:left="434"/>
              <w:rPr>
                <w:rFonts w:ascii="楷体" w:hAnsi="楷体" w:eastAsia="楷体" w:cs="楷体"/>
                <w:sz w:val="18"/>
                <w:szCs w:val="18"/>
              </w:rPr>
            </w:pPr>
            <w:r>
              <w:rPr>
                <w:rFonts w:ascii="楷体" w:hAnsi="楷体" w:eastAsia="楷体" w:cs="楷体"/>
                <w:spacing w:val="-9"/>
                <w:sz w:val="18"/>
                <w:szCs w:val="18"/>
              </w:rPr>
              <w:t>10</w:t>
            </w:r>
          </w:p>
        </w:tc>
        <w:tc>
          <w:tcPr>
            <w:tcW w:w="868" w:type="dxa"/>
            <w:vAlign w:val="top"/>
          </w:tcPr>
          <w:p w14:paraId="3F59C749">
            <w:pPr>
              <w:spacing w:before="153" w:line="241" w:lineRule="auto"/>
              <w:ind w:left="413"/>
              <w:rPr>
                <w:rFonts w:ascii="楷体" w:hAnsi="楷体" w:eastAsia="楷体" w:cs="楷体"/>
                <w:sz w:val="18"/>
                <w:szCs w:val="18"/>
              </w:rPr>
            </w:pPr>
            <w:r>
              <w:rPr>
                <w:rFonts w:ascii="楷体" w:hAnsi="楷体" w:eastAsia="楷体" w:cs="楷体"/>
                <w:sz w:val="18"/>
                <w:szCs w:val="18"/>
              </w:rPr>
              <w:t>5</w:t>
            </w:r>
          </w:p>
        </w:tc>
        <w:tc>
          <w:tcPr>
            <w:tcW w:w="1559" w:type="dxa"/>
            <w:vAlign w:val="top"/>
          </w:tcPr>
          <w:p w14:paraId="588CDBA4">
            <w:pPr>
              <w:spacing w:before="153" w:line="238" w:lineRule="exact"/>
              <w:ind w:left="761"/>
              <w:rPr>
                <w:rFonts w:ascii="楷体" w:hAnsi="楷体" w:eastAsia="楷体" w:cs="楷体"/>
                <w:sz w:val="18"/>
                <w:szCs w:val="18"/>
              </w:rPr>
            </w:pPr>
            <w:r>
              <w:rPr>
                <w:rFonts w:ascii="楷体" w:hAnsi="楷体" w:eastAsia="楷体" w:cs="楷体"/>
                <w:position w:val="1"/>
                <w:sz w:val="18"/>
                <w:szCs w:val="18"/>
              </w:rPr>
              <w:t>1</w:t>
            </w:r>
          </w:p>
        </w:tc>
        <w:tc>
          <w:tcPr>
            <w:tcW w:w="1962" w:type="dxa"/>
            <w:vAlign w:val="top"/>
          </w:tcPr>
          <w:p w14:paraId="1399D8BB">
            <w:pPr>
              <w:rPr>
                <w:rFonts w:ascii="Arial"/>
                <w:sz w:val="21"/>
              </w:rPr>
            </w:pPr>
          </w:p>
        </w:tc>
      </w:tr>
      <w:tr w14:paraId="7774B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614" w:type="dxa"/>
            <w:vAlign w:val="top"/>
          </w:tcPr>
          <w:p w14:paraId="00A4C5D0">
            <w:pPr>
              <w:spacing w:before="48" w:line="220" w:lineRule="auto"/>
              <w:ind w:left="284"/>
              <w:rPr>
                <w:rFonts w:ascii="楷体" w:hAnsi="楷体" w:eastAsia="楷体" w:cs="楷体"/>
                <w:sz w:val="18"/>
                <w:szCs w:val="18"/>
              </w:rPr>
            </w:pPr>
            <w:r>
              <w:rPr>
                <w:rFonts w:ascii="楷体" w:hAnsi="楷体" w:eastAsia="楷体" w:cs="楷体"/>
                <w:sz w:val="18"/>
                <w:szCs w:val="18"/>
              </w:rPr>
              <w:t>9</w:t>
            </w:r>
          </w:p>
        </w:tc>
        <w:tc>
          <w:tcPr>
            <w:tcW w:w="2106" w:type="dxa"/>
            <w:vAlign w:val="top"/>
          </w:tcPr>
          <w:p w14:paraId="0BCD5A07">
            <w:pPr>
              <w:spacing w:before="48" w:line="219" w:lineRule="auto"/>
              <w:ind w:left="204"/>
              <w:rPr>
                <w:rFonts w:ascii="楷体" w:hAnsi="楷体" w:eastAsia="楷体" w:cs="楷体"/>
                <w:sz w:val="18"/>
                <w:szCs w:val="18"/>
              </w:rPr>
            </w:pPr>
            <w:r>
              <w:rPr>
                <w:rFonts w:ascii="楷体" w:hAnsi="楷体" w:eastAsia="楷体" w:cs="楷体"/>
                <w:spacing w:val="-1"/>
                <w:sz w:val="18"/>
                <w:szCs w:val="18"/>
              </w:rPr>
              <w:t>灰岩（水泥用/其它）</w:t>
            </w:r>
          </w:p>
        </w:tc>
        <w:tc>
          <w:tcPr>
            <w:tcW w:w="1492" w:type="dxa"/>
            <w:vAlign w:val="top"/>
          </w:tcPr>
          <w:p w14:paraId="2319F918">
            <w:pPr>
              <w:spacing w:before="48" w:line="220" w:lineRule="auto"/>
              <w:ind w:left="342"/>
              <w:rPr>
                <w:rFonts w:ascii="楷体" w:hAnsi="楷体" w:eastAsia="楷体" w:cs="楷体"/>
                <w:sz w:val="18"/>
                <w:szCs w:val="18"/>
              </w:rPr>
            </w:pPr>
            <w:r>
              <w:rPr>
                <w:rFonts w:ascii="楷体" w:hAnsi="楷体" w:eastAsia="楷体" w:cs="楷体"/>
                <w:spacing w:val="-2"/>
                <w:sz w:val="18"/>
                <w:szCs w:val="18"/>
              </w:rPr>
              <w:t>矿石</w:t>
            </w:r>
            <w:r>
              <w:rPr>
                <w:rFonts w:ascii="楷体" w:hAnsi="楷体" w:eastAsia="楷体" w:cs="楷体"/>
                <w:spacing w:val="12"/>
                <w:sz w:val="18"/>
                <w:szCs w:val="18"/>
              </w:rPr>
              <w:t xml:space="preserve"> </w:t>
            </w:r>
            <w:r>
              <w:rPr>
                <w:rFonts w:ascii="楷体" w:hAnsi="楷体" w:eastAsia="楷体" w:cs="楷体"/>
                <w:spacing w:val="-2"/>
                <w:sz w:val="18"/>
                <w:szCs w:val="18"/>
              </w:rPr>
              <w:t>万吨</w:t>
            </w:r>
          </w:p>
        </w:tc>
        <w:tc>
          <w:tcPr>
            <w:tcW w:w="1477" w:type="dxa"/>
            <w:vAlign w:val="top"/>
          </w:tcPr>
          <w:p w14:paraId="7134C5B2">
            <w:pPr>
              <w:spacing w:before="48" w:line="220" w:lineRule="auto"/>
              <w:ind w:left="355"/>
              <w:rPr>
                <w:rFonts w:ascii="楷体" w:hAnsi="楷体" w:eastAsia="楷体" w:cs="楷体"/>
                <w:sz w:val="18"/>
                <w:szCs w:val="18"/>
              </w:rPr>
            </w:pPr>
            <w:r>
              <w:rPr>
                <w:rFonts w:ascii="楷体" w:hAnsi="楷体" w:eastAsia="楷体" w:cs="楷体"/>
                <w:spacing w:val="-2"/>
                <w:sz w:val="18"/>
                <w:szCs w:val="18"/>
              </w:rPr>
              <w:t>1500/1500</w:t>
            </w:r>
          </w:p>
        </w:tc>
        <w:tc>
          <w:tcPr>
            <w:tcW w:w="1760" w:type="dxa"/>
            <w:vAlign w:val="top"/>
          </w:tcPr>
          <w:p w14:paraId="4264C43B">
            <w:pPr>
              <w:spacing w:before="48" w:line="220" w:lineRule="auto"/>
              <w:ind w:left="482"/>
              <w:rPr>
                <w:rFonts w:ascii="楷体" w:hAnsi="楷体" w:eastAsia="楷体" w:cs="楷体"/>
                <w:sz w:val="18"/>
                <w:szCs w:val="18"/>
              </w:rPr>
            </w:pPr>
            <w:r>
              <w:rPr>
                <w:rFonts w:ascii="楷体" w:hAnsi="楷体" w:eastAsia="楷体" w:cs="楷体"/>
                <w:spacing w:val="-3"/>
                <w:sz w:val="18"/>
                <w:szCs w:val="18"/>
              </w:rPr>
              <w:t>矿石</w:t>
            </w:r>
            <w:r>
              <w:rPr>
                <w:rFonts w:ascii="楷体" w:hAnsi="楷体" w:eastAsia="楷体" w:cs="楷体"/>
                <w:spacing w:val="14"/>
                <w:sz w:val="18"/>
                <w:szCs w:val="18"/>
              </w:rPr>
              <w:t xml:space="preserve"> </w:t>
            </w:r>
            <w:r>
              <w:rPr>
                <w:rFonts w:ascii="楷体" w:hAnsi="楷体" w:eastAsia="楷体" w:cs="楷体"/>
                <w:spacing w:val="-3"/>
                <w:sz w:val="18"/>
                <w:szCs w:val="18"/>
              </w:rPr>
              <w:t>万吨</w:t>
            </w:r>
          </w:p>
        </w:tc>
        <w:tc>
          <w:tcPr>
            <w:tcW w:w="998" w:type="dxa"/>
            <w:vAlign w:val="top"/>
          </w:tcPr>
          <w:p w14:paraId="6EC4F1F6">
            <w:pPr>
              <w:spacing w:before="48" w:line="220" w:lineRule="auto"/>
              <w:ind w:left="209"/>
              <w:rPr>
                <w:rFonts w:ascii="楷体" w:hAnsi="楷体" w:eastAsia="楷体" w:cs="楷体"/>
                <w:sz w:val="18"/>
                <w:szCs w:val="18"/>
              </w:rPr>
            </w:pPr>
            <w:r>
              <w:rPr>
                <w:rFonts w:ascii="楷体" w:hAnsi="楷体" w:eastAsia="楷体" w:cs="楷体"/>
                <w:spacing w:val="-3"/>
                <w:sz w:val="18"/>
                <w:szCs w:val="18"/>
              </w:rPr>
              <w:t>100/100</w:t>
            </w:r>
          </w:p>
        </w:tc>
        <w:tc>
          <w:tcPr>
            <w:tcW w:w="868" w:type="dxa"/>
            <w:vAlign w:val="top"/>
          </w:tcPr>
          <w:p w14:paraId="61741876">
            <w:pPr>
              <w:spacing w:before="48" w:line="220" w:lineRule="auto"/>
              <w:ind w:left="235"/>
              <w:rPr>
                <w:rFonts w:ascii="楷体" w:hAnsi="楷体" w:eastAsia="楷体" w:cs="楷体"/>
                <w:sz w:val="18"/>
                <w:szCs w:val="18"/>
              </w:rPr>
            </w:pPr>
            <w:r>
              <w:rPr>
                <w:rFonts w:ascii="楷体" w:hAnsi="楷体" w:eastAsia="楷体" w:cs="楷体"/>
                <w:spacing w:val="-4"/>
                <w:sz w:val="18"/>
                <w:szCs w:val="18"/>
              </w:rPr>
              <w:t>50/50</w:t>
            </w:r>
          </w:p>
        </w:tc>
        <w:tc>
          <w:tcPr>
            <w:tcW w:w="1559" w:type="dxa"/>
            <w:vAlign w:val="top"/>
          </w:tcPr>
          <w:p w14:paraId="18B1B5FC">
            <w:pPr>
              <w:spacing w:before="48" w:line="220" w:lineRule="auto"/>
              <w:ind w:left="657"/>
              <w:rPr>
                <w:rFonts w:ascii="楷体" w:hAnsi="楷体" w:eastAsia="楷体" w:cs="楷体"/>
                <w:sz w:val="18"/>
                <w:szCs w:val="18"/>
              </w:rPr>
            </w:pPr>
            <w:r>
              <w:rPr>
                <w:rFonts w:ascii="楷体" w:hAnsi="楷体" w:eastAsia="楷体" w:cs="楷体"/>
                <w:sz w:val="18"/>
                <w:szCs w:val="18"/>
              </w:rPr>
              <w:t>-/-</w:t>
            </w:r>
          </w:p>
        </w:tc>
        <w:tc>
          <w:tcPr>
            <w:tcW w:w="1962" w:type="dxa"/>
            <w:vAlign w:val="top"/>
          </w:tcPr>
          <w:p w14:paraId="7E891A7C">
            <w:pPr>
              <w:rPr>
                <w:rFonts w:ascii="Arial"/>
                <w:sz w:val="21"/>
              </w:rPr>
            </w:pPr>
          </w:p>
        </w:tc>
      </w:tr>
      <w:tr w14:paraId="0976E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14" w:type="dxa"/>
            <w:vAlign w:val="top"/>
          </w:tcPr>
          <w:p w14:paraId="69C9EF5C">
            <w:pPr>
              <w:spacing w:before="159" w:line="239" w:lineRule="auto"/>
              <w:ind w:left="239"/>
              <w:rPr>
                <w:rFonts w:ascii="楷体" w:hAnsi="楷体" w:eastAsia="楷体" w:cs="楷体"/>
                <w:sz w:val="18"/>
                <w:szCs w:val="18"/>
              </w:rPr>
            </w:pPr>
            <w:r>
              <w:rPr>
                <w:rFonts w:ascii="楷体" w:hAnsi="楷体" w:eastAsia="楷体" w:cs="楷体"/>
                <w:spacing w:val="-9"/>
                <w:sz w:val="18"/>
                <w:szCs w:val="18"/>
              </w:rPr>
              <w:t>10</w:t>
            </w:r>
          </w:p>
        </w:tc>
        <w:tc>
          <w:tcPr>
            <w:tcW w:w="2106" w:type="dxa"/>
            <w:vAlign w:val="top"/>
          </w:tcPr>
          <w:p w14:paraId="5ADAA54D">
            <w:pPr>
              <w:spacing w:before="39" w:line="214" w:lineRule="auto"/>
              <w:ind w:left="111"/>
              <w:rPr>
                <w:rFonts w:ascii="楷体" w:hAnsi="楷体" w:eastAsia="楷体" w:cs="楷体"/>
                <w:sz w:val="18"/>
                <w:szCs w:val="18"/>
              </w:rPr>
            </w:pPr>
            <w:r>
              <w:rPr>
                <w:rFonts w:ascii="楷体" w:hAnsi="楷体" w:eastAsia="楷体" w:cs="楷体"/>
                <w:sz w:val="18"/>
                <w:szCs w:val="18"/>
              </w:rPr>
              <w:t>饰面用石材(大理岩、花</w:t>
            </w:r>
          </w:p>
          <w:p w14:paraId="17F6B353">
            <w:pPr>
              <w:spacing w:before="31" w:line="200" w:lineRule="auto"/>
              <w:ind w:left="368"/>
              <w:rPr>
                <w:rFonts w:ascii="楷体" w:hAnsi="楷体" w:eastAsia="楷体" w:cs="楷体"/>
                <w:sz w:val="18"/>
                <w:szCs w:val="18"/>
              </w:rPr>
            </w:pPr>
            <w:r>
              <w:rPr>
                <w:rFonts w:ascii="楷体" w:hAnsi="楷体" w:eastAsia="楷体" w:cs="楷体"/>
                <w:spacing w:val="-4"/>
                <w:sz w:val="18"/>
                <w:szCs w:val="18"/>
              </w:rPr>
              <w:t>岗岩、灰岩/其它)</w:t>
            </w:r>
          </w:p>
        </w:tc>
        <w:tc>
          <w:tcPr>
            <w:tcW w:w="1492" w:type="dxa"/>
            <w:vAlign w:val="top"/>
          </w:tcPr>
          <w:p w14:paraId="743506D6">
            <w:pPr>
              <w:spacing w:before="159" w:line="222" w:lineRule="auto"/>
              <w:ind w:left="164"/>
              <w:rPr>
                <w:rFonts w:ascii="楷体" w:hAnsi="楷体" w:eastAsia="楷体" w:cs="楷体"/>
                <w:sz w:val="18"/>
                <w:szCs w:val="18"/>
              </w:rPr>
            </w:pPr>
            <w:r>
              <w:rPr>
                <w:rFonts w:ascii="楷体" w:hAnsi="楷体" w:eastAsia="楷体" w:cs="楷体"/>
                <w:spacing w:val="-3"/>
                <w:sz w:val="18"/>
                <w:szCs w:val="18"/>
              </w:rPr>
              <w:t>矿石</w:t>
            </w:r>
            <w:r>
              <w:rPr>
                <w:rFonts w:ascii="楷体" w:hAnsi="楷体" w:eastAsia="楷体" w:cs="楷体"/>
                <w:spacing w:val="19"/>
                <w:sz w:val="18"/>
                <w:szCs w:val="18"/>
              </w:rPr>
              <w:t xml:space="preserve"> </w:t>
            </w:r>
            <w:r>
              <w:rPr>
                <w:rFonts w:ascii="楷体" w:hAnsi="楷体" w:eastAsia="楷体" w:cs="楷体"/>
                <w:spacing w:val="-3"/>
                <w:sz w:val="18"/>
                <w:szCs w:val="18"/>
              </w:rPr>
              <w:t>万立方米</w:t>
            </w:r>
          </w:p>
        </w:tc>
        <w:tc>
          <w:tcPr>
            <w:tcW w:w="1477" w:type="dxa"/>
            <w:vAlign w:val="top"/>
          </w:tcPr>
          <w:p w14:paraId="2A9B877D">
            <w:pPr>
              <w:spacing w:before="159" w:line="235" w:lineRule="auto"/>
              <w:ind w:left="490"/>
              <w:rPr>
                <w:rFonts w:ascii="楷体" w:hAnsi="楷体" w:eastAsia="楷体" w:cs="楷体"/>
                <w:sz w:val="18"/>
                <w:szCs w:val="18"/>
              </w:rPr>
            </w:pPr>
            <w:r>
              <w:rPr>
                <w:rFonts w:ascii="楷体" w:hAnsi="楷体" w:eastAsia="楷体" w:cs="楷体"/>
                <w:spacing w:val="-3"/>
                <w:sz w:val="18"/>
                <w:szCs w:val="18"/>
              </w:rPr>
              <w:t>100/10</w:t>
            </w:r>
          </w:p>
        </w:tc>
        <w:tc>
          <w:tcPr>
            <w:tcW w:w="1760" w:type="dxa"/>
            <w:vAlign w:val="top"/>
          </w:tcPr>
          <w:p w14:paraId="26B99439">
            <w:pPr>
              <w:spacing w:before="159" w:line="222" w:lineRule="auto"/>
              <w:ind w:left="300"/>
              <w:rPr>
                <w:rFonts w:ascii="楷体" w:hAnsi="楷体" w:eastAsia="楷体" w:cs="楷体"/>
                <w:sz w:val="18"/>
                <w:szCs w:val="18"/>
              </w:rPr>
            </w:pPr>
            <w:r>
              <w:rPr>
                <w:rFonts w:ascii="楷体" w:hAnsi="楷体" w:eastAsia="楷体" w:cs="楷体"/>
                <w:sz w:val="18"/>
                <w:szCs w:val="18"/>
              </w:rPr>
              <w:t>矿石 万立方米</w:t>
            </w:r>
          </w:p>
        </w:tc>
        <w:tc>
          <w:tcPr>
            <w:tcW w:w="998" w:type="dxa"/>
            <w:vAlign w:val="top"/>
          </w:tcPr>
          <w:p w14:paraId="43EDFC4D">
            <w:pPr>
              <w:spacing w:before="159" w:line="235" w:lineRule="auto"/>
              <w:ind w:left="300"/>
              <w:rPr>
                <w:rFonts w:ascii="楷体" w:hAnsi="楷体" w:eastAsia="楷体" w:cs="楷体"/>
                <w:sz w:val="18"/>
                <w:szCs w:val="18"/>
              </w:rPr>
            </w:pPr>
            <w:r>
              <w:rPr>
                <w:rFonts w:ascii="楷体" w:hAnsi="楷体" w:eastAsia="楷体" w:cs="楷体"/>
                <w:spacing w:val="-4"/>
                <w:sz w:val="18"/>
                <w:szCs w:val="18"/>
              </w:rPr>
              <w:t>10/10</w:t>
            </w:r>
          </w:p>
        </w:tc>
        <w:tc>
          <w:tcPr>
            <w:tcW w:w="868" w:type="dxa"/>
            <w:vAlign w:val="top"/>
          </w:tcPr>
          <w:p w14:paraId="26D95EC5">
            <w:pPr>
              <w:spacing w:before="159" w:line="235" w:lineRule="auto"/>
              <w:ind w:left="322"/>
              <w:rPr>
                <w:rFonts w:ascii="楷体" w:hAnsi="楷体" w:eastAsia="楷体" w:cs="楷体"/>
                <w:sz w:val="18"/>
                <w:szCs w:val="18"/>
              </w:rPr>
            </w:pPr>
            <w:r>
              <w:rPr>
                <w:rFonts w:ascii="楷体" w:hAnsi="楷体" w:eastAsia="楷体" w:cs="楷体"/>
                <w:spacing w:val="-5"/>
                <w:sz w:val="18"/>
                <w:szCs w:val="18"/>
              </w:rPr>
              <w:t>5/3</w:t>
            </w:r>
          </w:p>
        </w:tc>
        <w:tc>
          <w:tcPr>
            <w:tcW w:w="1559" w:type="dxa"/>
            <w:vAlign w:val="top"/>
          </w:tcPr>
          <w:p w14:paraId="4B55F9BA">
            <w:pPr>
              <w:spacing w:before="159" w:line="235" w:lineRule="auto"/>
              <w:ind w:left="657"/>
              <w:rPr>
                <w:rFonts w:ascii="楷体" w:hAnsi="楷体" w:eastAsia="楷体" w:cs="楷体"/>
                <w:sz w:val="18"/>
                <w:szCs w:val="18"/>
              </w:rPr>
            </w:pPr>
            <w:r>
              <w:rPr>
                <w:rFonts w:ascii="楷体" w:hAnsi="楷体" w:eastAsia="楷体" w:cs="楷体"/>
                <w:spacing w:val="-1"/>
                <w:sz w:val="18"/>
                <w:szCs w:val="18"/>
              </w:rPr>
              <w:t>-/1</w:t>
            </w:r>
          </w:p>
        </w:tc>
        <w:tc>
          <w:tcPr>
            <w:tcW w:w="1962" w:type="dxa"/>
            <w:vAlign w:val="top"/>
          </w:tcPr>
          <w:p w14:paraId="0695535B">
            <w:pPr>
              <w:spacing w:before="159" w:line="220" w:lineRule="auto"/>
              <w:ind w:left="117"/>
              <w:rPr>
                <w:rFonts w:ascii="楷体" w:hAnsi="楷体" w:eastAsia="楷体" w:cs="楷体"/>
                <w:sz w:val="18"/>
                <w:szCs w:val="18"/>
              </w:rPr>
            </w:pPr>
            <w:r>
              <w:rPr>
                <w:rFonts w:ascii="楷体" w:hAnsi="楷体" w:eastAsia="楷体" w:cs="楷体"/>
                <w:spacing w:val="-2"/>
                <w:sz w:val="18"/>
                <w:szCs w:val="18"/>
              </w:rPr>
              <w:t>见注释</w:t>
            </w:r>
            <w:r>
              <w:rPr>
                <w:rFonts w:ascii="楷体" w:hAnsi="楷体" w:eastAsia="楷体" w:cs="楷体"/>
                <w:spacing w:val="-31"/>
                <w:sz w:val="18"/>
                <w:szCs w:val="18"/>
              </w:rPr>
              <w:t xml:space="preserve"> </w:t>
            </w:r>
            <w:r>
              <w:rPr>
                <w:rFonts w:ascii="楷体" w:hAnsi="楷体" w:eastAsia="楷体" w:cs="楷体"/>
                <w:spacing w:val="-2"/>
                <w:sz w:val="18"/>
                <w:szCs w:val="18"/>
              </w:rPr>
              <w:t>1</w:t>
            </w:r>
          </w:p>
        </w:tc>
      </w:tr>
      <w:tr w14:paraId="04D6A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614" w:type="dxa"/>
            <w:vAlign w:val="top"/>
          </w:tcPr>
          <w:p w14:paraId="62219289">
            <w:pPr>
              <w:spacing w:before="135" w:line="238" w:lineRule="exact"/>
              <w:ind w:left="239"/>
              <w:rPr>
                <w:rFonts w:ascii="楷体" w:hAnsi="楷体" w:eastAsia="楷体" w:cs="楷体"/>
                <w:sz w:val="18"/>
                <w:szCs w:val="18"/>
              </w:rPr>
            </w:pPr>
            <w:r>
              <w:rPr>
                <w:rFonts w:ascii="楷体" w:hAnsi="楷体" w:eastAsia="楷体" w:cs="楷体"/>
                <w:spacing w:val="-9"/>
                <w:position w:val="1"/>
                <w:sz w:val="18"/>
                <w:szCs w:val="18"/>
              </w:rPr>
              <w:t>11</w:t>
            </w:r>
          </w:p>
        </w:tc>
        <w:tc>
          <w:tcPr>
            <w:tcW w:w="2106" w:type="dxa"/>
            <w:vAlign w:val="top"/>
          </w:tcPr>
          <w:p w14:paraId="7AF9D080">
            <w:pPr>
              <w:spacing w:before="135" w:line="222" w:lineRule="auto"/>
              <w:ind w:left="612"/>
              <w:rPr>
                <w:rFonts w:ascii="楷体" w:hAnsi="楷体" w:eastAsia="楷体" w:cs="楷体"/>
                <w:sz w:val="18"/>
                <w:szCs w:val="18"/>
              </w:rPr>
            </w:pPr>
            <w:r>
              <w:rPr>
                <w:rFonts w:ascii="楷体" w:hAnsi="楷体" w:eastAsia="楷体" w:cs="楷体"/>
                <w:spacing w:val="-1"/>
                <w:sz w:val="18"/>
                <w:szCs w:val="18"/>
              </w:rPr>
              <w:t>建筑用砂石</w:t>
            </w:r>
          </w:p>
        </w:tc>
        <w:tc>
          <w:tcPr>
            <w:tcW w:w="1492" w:type="dxa"/>
            <w:vAlign w:val="top"/>
          </w:tcPr>
          <w:p w14:paraId="6CC02704">
            <w:pPr>
              <w:spacing w:before="136" w:line="222" w:lineRule="auto"/>
              <w:ind w:left="164"/>
              <w:rPr>
                <w:rFonts w:ascii="楷体" w:hAnsi="楷体" w:eastAsia="楷体" w:cs="楷体"/>
                <w:sz w:val="18"/>
                <w:szCs w:val="18"/>
              </w:rPr>
            </w:pPr>
            <w:r>
              <w:rPr>
                <w:rFonts w:ascii="楷体" w:hAnsi="楷体" w:eastAsia="楷体" w:cs="楷体"/>
                <w:spacing w:val="-3"/>
                <w:sz w:val="18"/>
                <w:szCs w:val="18"/>
              </w:rPr>
              <w:t>矿石</w:t>
            </w:r>
            <w:r>
              <w:rPr>
                <w:rFonts w:ascii="楷体" w:hAnsi="楷体" w:eastAsia="楷体" w:cs="楷体"/>
                <w:spacing w:val="19"/>
                <w:sz w:val="18"/>
                <w:szCs w:val="18"/>
              </w:rPr>
              <w:t xml:space="preserve"> </w:t>
            </w:r>
            <w:r>
              <w:rPr>
                <w:rFonts w:ascii="楷体" w:hAnsi="楷体" w:eastAsia="楷体" w:cs="楷体"/>
                <w:spacing w:val="-3"/>
                <w:sz w:val="18"/>
                <w:szCs w:val="18"/>
              </w:rPr>
              <w:t>万立方米</w:t>
            </w:r>
          </w:p>
        </w:tc>
        <w:tc>
          <w:tcPr>
            <w:tcW w:w="1477" w:type="dxa"/>
            <w:vAlign w:val="top"/>
          </w:tcPr>
          <w:p w14:paraId="15030519">
            <w:pPr>
              <w:spacing w:before="135" w:line="235" w:lineRule="auto"/>
              <w:ind w:left="710"/>
              <w:rPr>
                <w:rFonts w:ascii="楷体" w:hAnsi="楷体" w:eastAsia="楷体" w:cs="楷体"/>
                <w:sz w:val="18"/>
                <w:szCs w:val="18"/>
              </w:rPr>
            </w:pPr>
            <w:r>
              <w:rPr>
                <w:rFonts w:ascii="楷体" w:hAnsi="楷体" w:eastAsia="楷体" w:cs="楷体"/>
                <w:sz w:val="18"/>
                <w:szCs w:val="18"/>
              </w:rPr>
              <w:t>/</w:t>
            </w:r>
          </w:p>
        </w:tc>
        <w:tc>
          <w:tcPr>
            <w:tcW w:w="1760" w:type="dxa"/>
            <w:vAlign w:val="top"/>
          </w:tcPr>
          <w:p w14:paraId="3659E54D">
            <w:pPr>
              <w:spacing w:before="136" w:line="222" w:lineRule="auto"/>
              <w:ind w:left="538"/>
              <w:rPr>
                <w:rFonts w:ascii="楷体" w:hAnsi="楷体" w:eastAsia="楷体" w:cs="楷体"/>
                <w:sz w:val="18"/>
                <w:szCs w:val="18"/>
              </w:rPr>
            </w:pPr>
            <w:r>
              <w:rPr>
                <w:rFonts w:ascii="楷体" w:hAnsi="楷体" w:eastAsia="楷体" w:cs="楷体"/>
                <w:spacing w:val="-3"/>
                <w:sz w:val="18"/>
                <w:szCs w:val="18"/>
              </w:rPr>
              <w:t>万立方米</w:t>
            </w:r>
          </w:p>
        </w:tc>
        <w:tc>
          <w:tcPr>
            <w:tcW w:w="998" w:type="dxa"/>
            <w:vAlign w:val="top"/>
          </w:tcPr>
          <w:p w14:paraId="2957C0A7">
            <w:pPr>
              <w:spacing w:before="135" w:line="235" w:lineRule="auto"/>
              <w:ind w:left="472"/>
              <w:rPr>
                <w:rFonts w:ascii="楷体" w:hAnsi="楷体" w:eastAsia="楷体" w:cs="楷体"/>
                <w:sz w:val="18"/>
                <w:szCs w:val="18"/>
              </w:rPr>
            </w:pPr>
            <w:r>
              <w:rPr>
                <w:rFonts w:ascii="楷体" w:hAnsi="楷体" w:eastAsia="楷体" w:cs="楷体"/>
                <w:sz w:val="18"/>
                <w:szCs w:val="18"/>
              </w:rPr>
              <w:t>/</w:t>
            </w:r>
          </w:p>
        </w:tc>
        <w:tc>
          <w:tcPr>
            <w:tcW w:w="868" w:type="dxa"/>
            <w:vAlign w:val="top"/>
          </w:tcPr>
          <w:p w14:paraId="6FC9F62A">
            <w:pPr>
              <w:spacing w:before="135" w:line="235" w:lineRule="auto"/>
              <w:ind w:left="410"/>
              <w:rPr>
                <w:rFonts w:ascii="楷体" w:hAnsi="楷体" w:eastAsia="楷体" w:cs="楷体"/>
                <w:sz w:val="18"/>
                <w:szCs w:val="18"/>
              </w:rPr>
            </w:pPr>
            <w:r>
              <w:rPr>
                <w:rFonts w:ascii="楷体" w:hAnsi="楷体" w:eastAsia="楷体" w:cs="楷体"/>
                <w:sz w:val="18"/>
                <w:szCs w:val="18"/>
              </w:rPr>
              <w:t>/</w:t>
            </w:r>
          </w:p>
        </w:tc>
        <w:tc>
          <w:tcPr>
            <w:tcW w:w="1559" w:type="dxa"/>
            <w:vAlign w:val="top"/>
          </w:tcPr>
          <w:p w14:paraId="49E8FA08">
            <w:pPr>
              <w:spacing w:before="135" w:line="235" w:lineRule="auto"/>
              <w:ind w:left="756"/>
              <w:rPr>
                <w:rFonts w:ascii="楷体" w:hAnsi="楷体" w:eastAsia="楷体" w:cs="楷体"/>
                <w:sz w:val="18"/>
                <w:szCs w:val="18"/>
              </w:rPr>
            </w:pPr>
            <w:r>
              <w:rPr>
                <w:rFonts w:ascii="楷体" w:hAnsi="楷体" w:eastAsia="楷体" w:cs="楷体"/>
                <w:sz w:val="18"/>
                <w:szCs w:val="18"/>
              </w:rPr>
              <w:t>/</w:t>
            </w:r>
          </w:p>
        </w:tc>
        <w:tc>
          <w:tcPr>
            <w:tcW w:w="1962" w:type="dxa"/>
            <w:vAlign w:val="top"/>
          </w:tcPr>
          <w:p w14:paraId="19737428">
            <w:pPr>
              <w:spacing w:before="136" w:line="220" w:lineRule="auto"/>
              <w:ind w:left="117"/>
              <w:rPr>
                <w:rFonts w:ascii="楷体" w:hAnsi="楷体" w:eastAsia="楷体" w:cs="楷体"/>
                <w:sz w:val="18"/>
                <w:szCs w:val="18"/>
              </w:rPr>
            </w:pPr>
            <w:r>
              <w:rPr>
                <w:rFonts w:ascii="楷体" w:hAnsi="楷体" w:eastAsia="楷体" w:cs="楷体"/>
                <w:spacing w:val="8"/>
                <w:sz w:val="18"/>
                <w:szCs w:val="18"/>
              </w:rPr>
              <w:t>见注释2</w:t>
            </w:r>
          </w:p>
        </w:tc>
      </w:tr>
      <w:tr w14:paraId="49C4B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14" w:type="dxa"/>
            <w:vAlign w:val="top"/>
          </w:tcPr>
          <w:p w14:paraId="4DA1A3AD">
            <w:pPr>
              <w:spacing w:before="155" w:line="238" w:lineRule="exact"/>
              <w:ind w:left="239"/>
              <w:rPr>
                <w:rFonts w:ascii="楷体" w:hAnsi="楷体" w:eastAsia="楷体" w:cs="楷体"/>
                <w:sz w:val="18"/>
                <w:szCs w:val="18"/>
              </w:rPr>
            </w:pPr>
            <w:r>
              <w:rPr>
                <w:rFonts w:ascii="楷体" w:hAnsi="楷体" w:eastAsia="楷体" w:cs="楷体"/>
                <w:spacing w:val="-9"/>
                <w:position w:val="1"/>
                <w:sz w:val="18"/>
                <w:szCs w:val="18"/>
              </w:rPr>
              <w:t>12</w:t>
            </w:r>
          </w:p>
        </w:tc>
        <w:tc>
          <w:tcPr>
            <w:tcW w:w="2106" w:type="dxa"/>
            <w:vAlign w:val="top"/>
          </w:tcPr>
          <w:p w14:paraId="1E70860E">
            <w:pPr>
              <w:spacing w:before="35" w:line="222" w:lineRule="auto"/>
              <w:ind w:left="116"/>
              <w:rPr>
                <w:rFonts w:ascii="楷体" w:hAnsi="楷体" w:eastAsia="楷体" w:cs="楷体"/>
                <w:sz w:val="18"/>
                <w:szCs w:val="18"/>
              </w:rPr>
            </w:pPr>
            <w:r>
              <w:rPr>
                <w:rFonts w:ascii="楷体" w:hAnsi="楷体" w:eastAsia="楷体" w:cs="楷体"/>
                <w:spacing w:val="-23"/>
                <w:sz w:val="18"/>
                <w:szCs w:val="18"/>
              </w:rPr>
              <w:t>粘土、页岩、砂岩、砂（砖</w:t>
            </w:r>
          </w:p>
          <w:p w14:paraId="06F818B0">
            <w:pPr>
              <w:spacing w:before="22" w:line="204" w:lineRule="auto"/>
              <w:ind w:left="812"/>
              <w:rPr>
                <w:rFonts w:ascii="楷体" w:hAnsi="楷体" w:eastAsia="楷体" w:cs="楷体"/>
                <w:sz w:val="18"/>
                <w:szCs w:val="18"/>
              </w:rPr>
            </w:pPr>
            <w:r>
              <w:rPr>
                <w:rFonts w:ascii="楷体" w:hAnsi="楷体" w:eastAsia="楷体" w:cs="楷体"/>
                <w:spacing w:val="1"/>
                <w:sz w:val="18"/>
                <w:szCs w:val="18"/>
              </w:rPr>
              <w:t>瓦用）</w:t>
            </w:r>
          </w:p>
        </w:tc>
        <w:tc>
          <w:tcPr>
            <w:tcW w:w="1492" w:type="dxa"/>
            <w:vAlign w:val="top"/>
          </w:tcPr>
          <w:p w14:paraId="53A8AAD4">
            <w:pPr>
              <w:spacing w:before="154" w:line="230" w:lineRule="auto"/>
              <w:ind w:left="342"/>
              <w:rPr>
                <w:rFonts w:ascii="楷体" w:hAnsi="楷体" w:eastAsia="楷体" w:cs="楷体"/>
                <w:sz w:val="18"/>
                <w:szCs w:val="18"/>
              </w:rPr>
            </w:pPr>
            <w:r>
              <w:rPr>
                <w:rFonts w:ascii="楷体" w:hAnsi="楷体" w:eastAsia="楷体" w:cs="楷体"/>
                <w:spacing w:val="-2"/>
                <w:sz w:val="18"/>
                <w:szCs w:val="18"/>
              </w:rPr>
              <w:t>矿石</w:t>
            </w:r>
            <w:r>
              <w:rPr>
                <w:rFonts w:ascii="楷体" w:hAnsi="楷体" w:eastAsia="楷体" w:cs="楷体"/>
                <w:spacing w:val="12"/>
                <w:sz w:val="18"/>
                <w:szCs w:val="18"/>
              </w:rPr>
              <w:t xml:space="preserve"> </w:t>
            </w:r>
            <w:r>
              <w:rPr>
                <w:rFonts w:ascii="楷体" w:hAnsi="楷体" w:eastAsia="楷体" w:cs="楷体"/>
                <w:spacing w:val="-2"/>
                <w:sz w:val="18"/>
                <w:szCs w:val="18"/>
              </w:rPr>
              <w:t>万吨</w:t>
            </w:r>
          </w:p>
        </w:tc>
        <w:tc>
          <w:tcPr>
            <w:tcW w:w="1477" w:type="dxa"/>
            <w:vAlign w:val="top"/>
          </w:tcPr>
          <w:p w14:paraId="0518131A">
            <w:pPr>
              <w:spacing w:before="155" w:line="239" w:lineRule="auto"/>
              <w:ind w:left="620"/>
              <w:rPr>
                <w:rFonts w:ascii="楷体" w:hAnsi="楷体" w:eastAsia="楷体" w:cs="楷体"/>
                <w:sz w:val="18"/>
                <w:szCs w:val="18"/>
              </w:rPr>
            </w:pPr>
            <w:r>
              <w:rPr>
                <w:rFonts w:ascii="楷体" w:hAnsi="楷体" w:eastAsia="楷体" w:cs="楷体"/>
                <w:spacing w:val="-4"/>
                <w:sz w:val="18"/>
                <w:szCs w:val="18"/>
              </w:rPr>
              <w:t>200</w:t>
            </w:r>
          </w:p>
        </w:tc>
        <w:tc>
          <w:tcPr>
            <w:tcW w:w="1760" w:type="dxa"/>
            <w:vAlign w:val="top"/>
          </w:tcPr>
          <w:p w14:paraId="7B757BDD">
            <w:pPr>
              <w:spacing w:before="155" w:line="230" w:lineRule="auto"/>
              <w:ind w:left="721"/>
              <w:rPr>
                <w:rFonts w:ascii="楷体" w:hAnsi="楷体" w:eastAsia="楷体" w:cs="楷体"/>
                <w:sz w:val="18"/>
                <w:szCs w:val="18"/>
              </w:rPr>
            </w:pPr>
            <w:r>
              <w:rPr>
                <w:rFonts w:ascii="楷体" w:hAnsi="楷体" w:eastAsia="楷体" w:cs="楷体"/>
                <w:spacing w:val="-6"/>
                <w:sz w:val="18"/>
                <w:szCs w:val="18"/>
              </w:rPr>
              <w:t>万吨</w:t>
            </w:r>
          </w:p>
        </w:tc>
        <w:tc>
          <w:tcPr>
            <w:tcW w:w="998" w:type="dxa"/>
            <w:vAlign w:val="top"/>
          </w:tcPr>
          <w:p w14:paraId="60AD73C3">
            <w:pPr>
              <w:spacing w:before="155" w:line="239" w:lineRule="auto"/>
              <w:ind w:left="437"/>
              <w:rPr>
                <w:rFonts w:ascii="楷体" w:hAnsi="楷体" w:eastAsia="楷体" w:cs="楷体"/>
                <w:sz w:val="18"/>
                <w:szCs w:val="18"/>
              </w:rPr>
            </w:pPr>
            <w:r>
              <w:rPr>
                <w:rFonts w:ascii="楷体" w:hAnsi="楷体" w:eastAsia="楷体" w:cs="楷体"/>
                <w:spacing w:val="-10"/>
                <w:sz w:val="18"/>
                <w:szCs w:val="18"/>
              </w:rPr>
              <w:t>30</w:t>
            </w:r>
          </w:p>
        </w:tc>
        <w:tc>
          <w:tcPr>
            <w:tcW w:w="868" w:type="dxa"/>
            <w:vAlign w:val="top"/>
          </w:tcPr>
          <w:p w14:paraId="6D994CBD">
            <w:pPr>
              <w:spacing w:before="155" w:line="239" w:lineRule="auto"/>
              <w:ind w:left="368"/>
              <w:rPr>
                <w:rFonts w:ascii="楷体" w:hAnsi="楷体" w:eastAsia="楷体" w:cs="楷体"/>
                <w:sz w:val="18"/>
                <w:szCs w:val="18"/>
              </w:rPr>
            </w:pPr>
            <w:r>
              <w:rPr>
                <w:rFonts w:ascii="楷体" w:hAnsi="楷体" w:eastAsia="楷体" w:cs="楷体"/>
                <w:spacing w:val="-7"/>
                <w:sz w:val="18"/>
                <w:szCs w:val="18"/>
              </w:rPr>
              <w:t>20</w:t>
            </w:r>
          </w:p>
        </w:tc>
        <w:tc>
          <w:tcPr>
            <w:tcW w:w="1559" w:type="dxa"/>
            <w:vAlign w:val="top"/>
          </w:tcPr>
          <w:p w14:paraId="08801165">
            <w:pPr>
              <w:spacing w:before="155" w:line="235" w:lineRule="auto"/>
              <w:ind w:left="756"/>
              <w:rPr>
                <w:rFonts w:ascii="楷体" w:hAnsi="楷体" w:eastAsia="楷体" w:cs="楷体"/>
                <w:sz w:val="18"/>
                <w:szCs w:val="18"/>
              </w:rPr>
            </w:pPr>
            <w:r>
              <w:rPr>
                <w:rFonts w:ascii="楷体" w:hAnsi="楷体" w:eastAsia="楷体" w:cs="楷体"/>
                <w:sz w:val="18"/>
                <w:szCs w:val="18"/>
              </w:rPr>
              <w:t>/</w:t>
            </w:r>
          </w:p>
        </w:tc>
        <w:tc>
          <w:tcPr>
            <w:tcW w:w="1962" w:type="dxa"/>
            <w:vAlign w:val="top"/>
          </w:tcPr>
          <w:p w14:paraId="2C05621D">
            <w:pPr>
              <w:rPr>
                <w:rFonts w:ascii="Arial"/>
                <w:sz w:val="21"/>
              </w:rPr>
            </w:pPr>
          </w:p>
        </w:tc>
      </w:tr>
      <w:tr w14:paraId="2A22E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2836" w:type="dxa"/>
            <w:gridSpan w:val="9"/>
            <w:vAlign w:val="top"/>
          </w:tcPr>
          <w:p w14:paraId="10BA3125">
            <w:pPr>
              <w:spacing w:before="63" w:line="265" w:lineRule="auto"/>
              <w:ind w:left="117" w:right="90"/>
              <w:jc w:val="both"/>
              <w:rPr>
                <w:rFonts w:ascii="宋体" w:hAnsi="宋体" w:eastAsia="宋体" w:cs="宋体"/>
                <w:sz w:val="18"/>
                <w:szCs w:val="18"/>
              </w:rPr>
            </w:pPr>
            <w:r>
              <w:rPr>
                <w:rFonts w:ascii="宋体" w:hAnsi="宋体" w:eastAsia="宋体" w:cs="宋体"/>
                <w:sz w:val="18"/>
                <w:szCs w:val="18"/>
              </w:rPr>
              <w:t>注：1.饰面用石材：饰面用大理岩、花岗岩、灰岩矿山主要用作砌筑用条石、雕刻、制板材等；2.建筑用砂石：建筑用砂石主要用作机制砂、建</w:t>
            </w:r>
            <w:r>
              <w:rPr>
                <w:rFonts w:ascii="宋体" w:hAnsi="宋体" w:eastAsia="宋体" w:cs="宋体"/>
                <w:spacing w:val="-1"/>
                <w:sz w:val="18"/>
                <w:szCs w:val="18"/>
              </w:rPr>
              <w:t>筑骨料、铺筑路基等原料。新设开采规划区块最低开采规模不低于</w:t>
            </w:r>
            <w:r>
              <w:rPr>
                <w:rFonts w:ascii="宋体" w:hAnsi="宋体" w:eastAsia="宋体" w:cs="宋体"/>
                <w:spacing w:val="-41"/>
                <w:sz w:val="18"/>
                <w:szCs w:val="18"/>
              </w:rPr>
              <w:t xml:space="preserve"> </w:t>
            </w:r>
            <w:r>
              <w:rPr>
                <w:rFonts w:ascii="宋体" w:hAnsi="宋体" w:eastAsia="宋体" w:cs="宋体"/>
                <w:spacing w:val="-1"/>
                <w:sz w:val="18"/>
                <w:szCs w:val="18"/>
              </w:rPr>
              <w:t>50</w:t>
            </w:r>
            <w:r>
              <w:rPr>
                <w:rFonts w:ascii="宋体" w:hAnsi="宋体" w:eastAsia="宋体" w:cs="宋体"/>
                <w:spacing w:val="-35"/>
                <w:sz w:val="18"/>
                <w:szCs w:val="18"/>
              </w:rPr>
              <w:t xml:space="preserve"> </w:t>
            </w:r>
            <w:r>
              <w:rPr>
                <w:rFonts w:ascii="宋体" w:hAnsi="宋体" w:eastAsia="宋体" w:cs="宋体"/>
                <w:spacing w:val="-1"/>
                <w:sz w:val="18"/>
                <w:szCs w:val="18"/>
              </w:rPr>
              <w:t>万吨/</w:t>
            </w:r>
            <w:r>
              <w:rPr>
                <w:rFonts w:ascii="宋体" w:hAnsi="宋体" w:eastAsia="宋体" w:cs="宋体"/>
                <w:spacing w:val="-2"/>
                <w:sz w:val="18"/>
                <w:szCs w:val="18"/>
              </w:rPr>
              <w:t>年，服务年限不低于</w:t>
            </w:r>
            <w:r>
              <w:rPr>
                <w:rFonts w:ascii="宋体" w:hAnsi="宋体" w:eastAsia="宋体" w:cs="宋体"/>
                <w:spacing w:val="-26"/>
                <w:sz w:val="18"/>
                <w:szCs w:val="18"/>
              </w:rPr>
              <w:t xml:space="preserve"> </w:t>
            </w:r>
            <w:r>
              <w:rPr>
                <w:rFonts w:ascii="宋体" w:hAnsi="宋体" w:eastAsia="宋体" w:cs="宋体"/>
                <w:spacing w:val="-2"/>
                <w:sz w:val="18"/>
                <w:szCs w:val="18"/>
              </w:rPr>
              <w:t>10</w:t>
            </w:r>
            <w:r>
              <w:rPr>
                <w:rFonts w:ascii="宋体" w:hAnsi="宋体" w:eastAsia="宋体" w:cs="宋体"/>
                <w:spacing w:val="-39"/>
                <w:sz w:val="18"/>
                <w:szCs w:val="18"/>
              </w:rPr>
              <w:t xml:space="preserve"> </w:t>
            </w:r>
            <w:r>
              <w:rPr>
                <w:rFonts w:ascii="宋体" w:hAnsi="宋体" w:eastAsia="宋体" w:cs="宋体"/>
                <w:spacing w:val="-2"/>
                <w:sz w:val="18"/>
                <w:szCs w:val="18"/>
              </w:rPr>
              <w:t>年；保障重点工程建设和乡村振兴项目的，生产规模不低于</w:t>
            </w:r>
            <w:r>
              <w:rPr>
                <w:rFonts w:ascii="宋体" w:hAnsi="宋体" w:eastAsia="宋体" w:cs="宋体"/>
                <w:spacing w:val="-43"/>
                <w:sz w:val="18"/>
                <w:szCs w:val="18"/>
              </w:rPr>
              <w:t xml:space="preserve"> </w:t>
            </w:r>
            <w:r>
              <w:rPr>
                <w:rFonts w:ascii="宋体" w:hAnsi="宋体" w:eastAsia="宋体" w:cs="宋体"/>
                <w:spacing w:val="-2"/>
                <w:sz w:val="18"/>
                <w:szCs w:val="18"/>
              </w:rPr>
              <w:t>20</w:t>
            </w:r>
            <w:r>
              <w:rPr>
                <w:rFonts w:ascii="宋体" w:hAnsi="宋体" w:eastAsia="宋体" w:cs="宋体"/>
                <w:spacing w:val="-35"/>
                <w:sz w:val="18"/>
                <w:szCs w:val="18"/>
              </w:rPr>
              <w:t xml:space="preserve"> </w:t>
            </w:r>
            <w:r>
              <w:rPr>
                <w:rFonts w:ascii="宋体" w:hAnsi="宋体" w:eastAsia="宋体" w:cs="宋体"/>
                <w:spacing w:val="-2"/>
                <w:sz w:val="18"/>
                <w:szCs w:val="18"/>
              </w:rPr>
              <w:t>万吨/年，服务</w:t>
            </w:r>
            <w:r>
              <w:rPr>
                <w:rFonts w:ascii="宋体" w:hAnsi="宋体" w:eastAsia="宋体" w:cs="宋体"/>
                <w:sz w:val="18"/>
                <w:szCs w:val="18"/>
              </w:rPr>
              <w:t>年限与项目建设期限衔接；3.未列入上表的其他矿种最低资源量规模和设计开采规模必须达到小型</w:t>
            </w:r>
            <w:r>
              <w:rPr>
                <w:rFonts w:ascii="宋体" w:hAnsi="宋体" w:eastAsia="宋体" w:cs="宋体"/>
                <w:spacing w:val="-1"/>
                <w:sz w:val="18"/>
                <w:szCs w:val="18"/>
              </w:rPr>
              <w:t>及以上标准。</w:t>
            </w:r>
          </w:p>
        </w:tc>
      </w:tr>
    </w:tbl>
    <w:p w14:paraId="7C18241A">
      <w:pPr>
        <w:pStyle w:val="2"/>
        <w:spacing w:line="420" w:lineRule="auto"/>
      </w:pPr>
    </w:p>
    <w:p w14:paraId="361011FD">
      <w:pPr>
        <w:spacing w:before="91" w:line="242" w:lineRule="auto"/>
        <w:ind w:left="3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3"/>
          <w:sz w:val="28"/>
          <w:szCs w:val="28"/>
        </w:rPr>
        <w:t xml:space="preserve"> </w:t>
      </w:r>
      <w:r>
        <w:rPr>
          <w:rFonts w:ascii="宋体" w:hAnsi="宋体" w:eastAsia="宋体" w:cs="宋体"/>
          <w:spacing w:val="-6"/>
          <w:sz w:val="28"/>
          <w:szCs w:val="28"/>
        </w:rPr>
        <w:t>52</w:t>
      </w:r>
      <w:r>
        <w:rPr>
          <w:rFonts w:ascii="宋体" w:hAnsi="宋体" w:eastAsia="宋体" w:cs="宋体"/>
          <w:spacing w:val="5"/>
          <w:sz w:val="28"/>
          <w:szCs w:val="28"/>
        </w:rPr>
        <w:t xml:space="preserve"> </w:t>
      </w:r>
      <w:r>
        <w:rPr>
          <w:rFonts w:ascii="宋体" w:hAnsi="宋体" w:eastAsia="宋体" w:cs="宋体"/>
          <w:spacing w:val="-6"/>
          <w:sz w:val="28"/>
          <w:szCs w:val="28"/>
        </w:rPr>
        <w:t>-</w:t>
      </w:r>
    </w:p>
    <w:p w14:paraId="552C189A">
      <w:pPr>
        <w:spacing w:line="242" w:lineRule="auto"/>
        <w:rPr>
          <w:rFonts w:ascii="宋体" w:hAnsi="宋体" w:eastAsia="宋体" w:cs="宋体"/>
          <w:sz w:val="28"/>
          <w:szCs w:val="28"/>
        </w:rPr>
        <w:sectPr>
          <w:footerReference r:id="rId58" w:type="default"/>
          <w:pgSz w:w="16835" w:h="11904"/>
          <w:pgMar w:top="1011" w:right="2029" w:bottom="400" w:left="1962" w:header="0" w:footer="0" w:gutter="0"/>
          <w:cols w:space="720" w:num="1"/>
        </w:sectPr>
      </w:pPr>
    </w:p>
    <w:p w14:paraId="1AABE117">
      <w:pPr>
        <w:pStyle w:val="2"/>
        <w:spacing w:line="301" w:lineRule="auto"/>
      </w:pPr>
    </w:p>
    <w:p w14:paraId="225B4B61">
      <w:pPr>
        <w:pStyle w:val="2"/>
        <w:spacing w:line="301" w:lineRule="auto"/>
      </w:pPr>
    </w:p>
    <w:p w14:paraId="0CBACFE0">
      <w:pPr>
        <w:pStyle w:val="2"/>
        <w:spacing w:before="101" w:line="225" w:lineRule="auto"/>
        <w:ind w:left="783"/>
        <w:outlineLvl w:val="0"/>
        <w:rPr>
          <w:rFonts w:ascii="黑体" w:hAnsi="黑体" w:eastAsia="黑体" w:cs="黑体"/>
          <w:sz w:val="31"/>
          <w:szCs w:val="31"/>
        </w:rPr>
      </w:pPr>
      <w:r>
        <w:rPr>
          <w:rFonts w:ascii="黑体" w:hAnsi="黑体" w:eastAsia="黑体" w:cs="黑体"/>
          <w:spacing w:val="6"/>
          <w:sz w:val="31"/>
          <w:szCs w:val="31"/>
        </w:rPr>
        <w:t>附表</w:t>
      </w:r>
      <w:r>
        <w:rPr>
          <w:rFonts w:ascii="黑体" w:hAnsi="黑体" w:eastAsia="黑体" w:cs="黑体"/>
          <w:spacing w:val="-49"/>
          <w:sz w:val="31"/>
          <w:szCs w:val="31"/>
        </w:rPr>
        <w:t xml:space="preserve"> </w:t>
      </w:r>
      <w:r>
        <w:rPr>
          <w:spacing w:val="6"/>
          <w:sz w:val="31"/>
          <w:szCs w:val="31"/>
        </w:rPr>
        <w:t>9</w:t>
      </w:r>
      <w:r>
        <w:rPr>
          <w:spacing w:val="1"/>
          <w:sz w:val="31"/>
          <w:szCs w:val="31"/>
        </w:rPr>
        <w:t xml:space="preserve">    </w:t>
      </w:r>
      <w:r>
        <w:rPr>
          <w:rFonts w:ascii="黑体" w:hAnsi="黑体" w:eastAsia="黑体" w:cs="黑体"/>
          <w:spacing w:val="6"/>
          <w:sz w:val="31"/>
          <w:szCs w:val="31"/>
        </w:rPr>
        <w:t>阿坝州砂石土类矿产集中开采区表</w:t>
      </w:r>
    </w:p>
    <w:p w14:paraId="6B72BB7B">
      <w:pPr>
        <w:spacing w:line="110" w:lineRule="exact"/>
      </w:pPr>
    </w:p>
    <w:tbl>
      <w:tblPr>
        <w:tblStyle w:val="5"/>
        <w:tblW w:w="129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1175"/>
        <w:gridCol w:w="1099"/>
        <w:gridCol w:w="1257"/>
        <w:gridCol w:w="1175"/>
        <w:gridCol w:w="1175"/>
        <w:gridCol w:w="1175"/>
        <w:gridCol w:w="1175"/>
        <w:gridCol w:w="1180"/>
        <w:gridCol w:w="1478"/>
        <w:gridCol w:w="897"/>
      </w:tblGrid>
      <w:tr w14:paraId="7C40B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4" w:hRule="atLeast"/>
        </w:trPr>
        <w:tc>
          <w:tcPr>
            <w:tcW w:w="1180" w:type="dxa"/>
            <w:vAlign w:val="top"/>
          </w:tcPr>
          <w:p w14:paraId="04B6F6B7">
            <w:pPr>
              <w:spacing w:line="261" w:lineRule="auto"/>
              <w:rPr>
                <w:rFonts w:ascii="Arial"/>
                <w:sz w:val="21"/>
              </w:rPr>
            </w:pPr>
          </w:p>
          <w:p w14:paraId="14FDE526">
            <w:pPr>
              <w:spacing w:before="68" w:line="224" w:lineRule="auto"/>
              <w:ind w:left="391"/>
              <w:rPr>
                <w:rFonts w:ascii="黑体" w:hAnsi="黑体" w:eastAsia="黑体" w:cs="黑体"/>
                <w:sz w:val="21"/>
                <w:szCs w:val="21"/>
              </w:rPr>
            </w:pPr>
            <w:r>
              <w:rPr>
                <w:rFonts w:ascii="黑体" w:hAnsi="黑体" w:eastAsia="黑体" w:cs="黑体"/>
                <w:spacing w:val="-3"/>
                <w:sz w:val="21"/>
                <w:szCs w:val="21"/>
              </w:rPr>
              <w:t>序号</w:t>
            </w:r>
          </w:p>
        </w:tc>
        <w:tc>
          <w:tcPr>
            <w:tcW w:w="1175" w:type="dxa"/>
            <w:vAlign w:val="top"/>
          </w:tcPr>
          <w:p w14:paraId="38F1567B">
            <w:pPr>
              <w:spacing w:line="261" w:lineRule="auto"/>
              <w:rPr>
                <w:rFonts w:ascii="Arial"/>
                <w:sz w:val="21"/>
              </w:rPr>
            </w:pPr>
          </w:p>
          <w:p w14:paraId="31D3F8AF">
            <w:pPr>
              <w:spacing w:before="68" w:line="222" w:lineRule="auto"/>
              <w:ind w:left="385"/>
              <w:rPr>
                <w:rFonts w:ascii="黑体" w:hAnsi="黑体" w:eastAsia="黑体" w:cs="黑体"/>
                <w:sz w:val="21"/>
                <w:szCs w:val="21"/>
              </w:rPr>
            </w:pPr>
            <w:r>
              <w:rPr>
                <w:rFonts w:ascii="黑体" w:hAnsi="黑体" w:eastAsia="黑体" w:cs="黑体"/>
                <w:spacing w:val="-3"/>
                <w:sz w:val="21"/>
                <w:szCs w:val="21"/>
              </w:rPr>
              <w:t>编号</w:t>
            </w:r>
          </w:p>
        </w:tc>
        <w:tc>
          <w:tcPr>
            <w:tcW w:w="1099" w:type="dxa"/>
            <w:vAlign w:val="top"/>
          </w:tcPr>
          <w:p w14:paraId="70719A9A">
            <w:pPr>
              <w:spacing w:line="261" w:lineRule="auto"/>
              <w:rPr>
                <w:rFonts w:ascii="Arial"/>
                <w:sz w:val="21"/>
              </w:rPr>
            </w:pPr>
          </w:p>
          <w:p w14:paraId="60119B1E">
            <w:pPr>
              <w:spacing w:before="68" w:line="223" w:lineRule="auto"/>
              <w:ind w:left="351"/>
              <w:rPr>
                <w:rFonts w:ascii="黑体" w:hAnsi="黑体" w:eastAsia="黑体" w:cs="黑体"/>
                <w:sz w:val="21"/>
                <w:szCs w:val="21"/>
              </w:rPr>
            </w:pPr>
            <w:r>
              <w:rPr>
                <w:rFonts w:ascii="黑体" w:hAnsi="黑体" w:eastAsia="黑体" w:cs="黑体"/>
                <w:spacing w:val="-4"/>
                <w:sz w:val="21"/>
                <w:szCs w:val="21"/>
              </w:rPr>
              <w:t>名称</w:t>
            </w:r>
          </w:p>
        </w:tc>
        <w:tc>
          <w:tcPr>
            <w:tcW w:w="1257" w:type="dxa"/>
            <w:vAlign w:val="top"/>
          </w:tcPr>
          <w:p w14:paraId="3C37CA3B">
            <w:pPr>
              <w:spacing w:line="261" w:lineRule="auto"/>
              <w:rPr>
                <w:rFonts w:ascii="Arial"/>
                <w:sz w:val="21"/>
              </w:rPr>
            </w:pPr>
          </w:p>
          <w:p w14:paraId="5934822C">
            <w:pPr>
              <w:spacing w:before="68" w:line="223" w:lineRule="auto"/>
              <w:ind w:left="117"/>
              <w:rPr>
                <w:rFonts w:ascii="黑体" w:hAnsi="黑体" w:eastAsia="黑体" w:cs="黑体"/>
                <w:sz w:val="21"/>
                <w:szCs w:val="21"/>
              </w:rPr>
            </w:pPr>
            <w:r>
              <w:rPr>
                <w:rFonts w:ascii="黑体" w:hAnsi="黑体" w:eastAsia="黑体" w:cs="黑体"/>
                <w:spacing w:val="-2"/>
                <w:sz w:val="21"/>
                <w:szCs w:val="21"/>
              </w:rPr>
              <w:t>所在行政区</w:t>
            </w:r>
          </w:p>
        </w:tc>
        <w:tc>
          <w:tcPr>
            <w:tcW w:w="1175" w:type="dxa"/>
            <w:vAlign w:val="top"/>
          </w:tcPr>
          <w:p w14:paraId="4314510D">
            <w:pPr>
              <w:spacing w:before="177" w:line="276" w:lineRule="auto"/>
              <w:ind w:left="286" w:right="93" w:hanging="166"/>
              <w:rPr>
                <w:rFonts w:ascii="黑体" w:hAnsi="黑体" w:eastAsia="黑体" w:cs="黑体"/>
                <w:sz w:val="21"/>
                <w:szCs w:val="21"/>
              </w:rPr>
            </w:pPr>
            <w:r>
              <w:rPr>
                <w:rFonts w:ascii="黑体" w:hAnsi="黑体" w:eastAsia="黑体" w:cs="黑体"/>
                <w:spacing w:val="-19"/>
                <w:sz w:val="21"/>
                <w:szCs w:val="21"/>
              </w:rPr>
              <w:t>面积（平方</w:t>
            </w:r>
            <w:r>
              <w:rPr>
                <w:rFonts w:ascii="黑体" w:hAnsi="黑体" w:eastAsia="黑体" w:cs="黑体"/>
                <w:spacing w:val="-4"/>
                <w:sz w:val="21"/>
                <w:szCs w:val="21"/>
              </w:rPr>
              <w:t>千米）</w:t>
            </w:r>
          </w:p>
        </w:tc>
        <w:tc>
          <w:tcPr>
            <w:tcW w:w="1175" w:type="dxa"/>
            <w:vAlign w:val="top"/>
          </w:tcPr>
          <w:p w14:paraId="60C90DE6">
            <w:pPr>
              <w:spacing w:line="261" w:lineRule="auto"/>
              <w:rPr>
                <w:rFonts w:ascii="Arial"/>
                <w:sz w:val="21"/>
              </w:rPr>
            </w:pPr>
          </w:p>
          <w:p w14:paraId="76285B9C">
            <w:pPr>
              <w:spacing w:before="68" w:line="224" w:lineRule="auto"/>
              <w:ind w:left="184"/>
              <w:rPr>
                <w:rFonts w:ascii="黑体" w:hAnsi="黑体" w:eastAsia="黑体" w:cs="黑体"/>
                <w:sz w:val="21"/>
                <w:szCs w:val="21"/>
              </w:rPr>
            </w:pPr>
            <w:r>
              <w:rPr>
                <w:rFonts w:ascii="黑体" w:hAnsi="黑体" w:eastAsia="黑体" w:cs="黑体"/>
                <w:spacing w:val="-3"/>
                <w:sz w:val="21"/>
                <w:szCs w:val="21"/>
              </w:rPr>
              <w:t>拐点坐标</w:t>
            </w:r>
          </w:p>
        </w:tc>
        <w:tc>
          <w:tcPr>
            <w:tcW w:w="1175" w:type="dxa"/>
            <w:vAlign w:val="top"/>
          </w:tcPr>
          <w:p w14:paraId="6BD4C383">
            <w:pPr>
              <w:spacing w:line="261" w:lineRule="auto"/>
              <w:rPr>
                <w:rFonts w:ascii="Arial"/>
                <w:sz w:val="21"/>
              </w:rPr>
            </w:pPr>
          </w:p>
          <w:p w14:paraId="341427B3">
            <w:pPr>
              <w:spacing w:before="68" w:line="222" w:lineRule="auto"/>
              <w:ind w:left="187"/>
              <w:rPr>
                <w:rFonts w:ascii="黑体" w:hAnsi="黑体" w:eastAsia="黑体" w:cs="黑体"/>
                <w:sz w:val="21"/>
                <w:szCs w:val="21"/>
              </w:rPr>
            </w:pPr>
            <w:r>
              <w:rPr>
                <w:rFonts w:ascii="黑体" w:hAnsi="黑体" w:eastAsia="黑体" w:cs="黑体"/>
                <w:spacing w:val="-3"/>
                <w:sz w:val="21"/>
                <w:szCs w:val="21"/>
              </w:rPr>
              <w:t>主要矿种</w:t>
            </w:r>
          </w:p>
        </w:tc>
        <w:tc>
          <w:tcPr>
            <w:tcW w:w="1175" w:type="dxa"/>
            <w:vAlign w:val="top"/>
          </w:tcPr>
          <w:p w14:paraId="3784FC20">
            <w:pPr>
              <w:spacing w:before="177" w:line="276" w:lineRule="auto"/>
              <w:ind w:left="287" w:right="153" w:hanging="103"/>
              <w:rPr>
                <w:rFonts w:ascii="黑体" w:hAnsi="黑体" w:eastAsia="黑体" w:cs="黑体"/>
                <w:sz w:val="21"/>
                <w:szCs w:val="21"/>
              </w:rPr>
            </w:pPr>
            <w:r>
              <w:rPr>
                <w:rFonts w:ascii="黑体" w:hAnsi="黑体" w:eastAsia="黑体" w:cs="黑体"/>
                <w:spacing w:val="-3"/>
                <w:sz w:val="21"/>
                <w:szCs w:val="21"/>
              </w:rPr>
              <w:t>拟设采矿</w:t>
            </w:r>
            <w:r>
              <w:rPr>
                <w:rFonts w:ascii="黑体" w:hAnsi="黑体" w:eastAsia="黑体" w:cs="黑体"/>
                <w:spacing w:val="-2"/>
                <w:sz w:val="21"/>
                <w:szCs w:val="21"/>
              </w:rPr>
              <w:t>权总数</w:t>
            </w:r>
          </w:p>
        </w:tc>
        <w:tc>
          <w:tcPr>
            <w:tcW w:w="1180" w:type="dxa"/>
            <w:vAlign w:val="top"/>
          </w:tcPr>
          <w:p w14:paraId="6535B0C4">
            <w:pPr>
              <w:spacing w:before="178" w:line="276" w:lineRule="auto"/>
              <w:ind w:left="393" w:right="158" w:hanging="203"/>
              <w:rPr>
                <w:rFonts w:ascii="黑体" w:hAnsi="黑体" w:eastAsia="黑体" w:cs="黑体"/>
                <w:sz w:val="21"/>
                <w:szCs w:val="21"/>
              </w:rPr>
            </w:pPr>
            <w:r>
              <w:rPr>
                <w:rFonts w:ascii="黑体" w:hAnsi="黑体" w:eastAsia="黑体" w:cs="黑体"/>
                <w:spacing w:val="-4"/>
                <w:sz w:val="21"/>
                <w:szCs w:val="21"/>
              </w:rPr>
              <w:t>最低开采</w:t>
            </w:r>
            <w:r>
              <w:rPr>
                <w:rFonts w:ascii="黑体" w:hAnsi="黑体" w:eastAsia="黑体" w:cs="黑体"/>
                <w:spacing w:val="-3"/>
                <w:sz w:val="21"/>
                <w:szCs w:val="21"/>
              </w:rPr>
              <w:t>规模</w:t>
            </w:r>
          </w:p>
        </w:tc>
        <w:tc>
          <w:tcPr>
            <w:tcW w:w="1478" w:type="dxa"/>
            <w:vAlign w:val="top"/>
          </w:tcPr>
          <w:p w14:paraId="44B58227">
            <w:pPr>
              <w:spacing w:before="177" w:line="276" w:lineRule="auto"/>
              <w:ind w:left="231" w:right="95" w:hanging="108"/>
              <w:rPr>
                <w:rFonts w:ascii="黑体" w:hAnsi="黑体" w:eastAsia="黑体" w:cs="黑体"/>
                <w:sz w:val="21"/>
                <w:szCs w:val="21"/>
              </w:rPr>
            </w:pPr>
            <w:r>
              <w:rPr>
                <w:rFonts w:ascii="黑体" w:hAnsi="黑体" w:eastAsia="黑体" w:cs="黑体"/>
                <w:spacing w:val="-2"/>
                <w:sz w:val="21"/>
                <w:szCs w:val="21"/>
              </w:rPr>
              <w:t>环境保护与恢复治理措施</w:t>
            </w:r>
          </w:p>
        </w:tc>
        <w:tc>
          <w:tcPr>
            <w:tcW w:w="897" w:type="dxa"/>
            <w:vAlign w:val="top"/>
          </w:tcPr>
          <w:p w14:paraId="44F2D160">
            <w:pPr>
              <w:spacing w:line="261" w:lineRule="auto"/>
              <w:rPr>
                <w:rFonts w:ascii="Arial"/>
                <w:sz w:val="21"/>
              </w:rPr>
            </w:pPr>
          </w:p>
          <w:p w14:paraId="60EBD217">
            <w:pPr>
              <w:spacing w:before="68" w:line="223" w:lineRule="auto"/>
              <w:ind w:left="252"/>
              <w:rPr>
                <w:rFonts w:ascii="黑体" w:hAnsi="黑体" w:eastAsia="黑体" w:cs="黑体"/>
                <w:sz w:val="21"/>
                <w:szCs w:val="21"/>
              </w:rPr>
            </w:pPr>
            <w:r>
              <w:rPr>
                <w:rFonts w:ascii="黑体" w:hAnsi="黑体" w:eastAsia="黑体" w:cs="黑体"/>
                <w:spacing w:val="-3"/>
                <w:sz w:val="21"/>
                <w:szCs w:val="21"/>
              </w:rPr>
              <w:t>备注</w:t>
            </w:r>
          </w:p>
        </w:tc>
      </w:tr>
      <w:tr w14:paraId="17FB6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2966" w:type="dxa"/>
            <w:gridSpan w:val="11"/>
            <w:vAlign w:val="top"/>
          </w:tcPr>
          <w:p w14:paraId="17C5C2CB">
            <w:pPr>
              <w:spacing w:before="214" w:line="230" w:lineRule="auto"/>
              <w:ind w:left="6015"/>
              <w:rPr>
                <w:rFonts w:ascii="楷体" w:hAnsi="楷体" w:eastAsia="楷体" w:cs="楷体"/>
                <w:sz w:val="23"/>
                <w:szCs w:val="23"/>
              </w:rPr>
            </w:pPr>
            <w:r>
              <w:rPr>
                <w:rFonts w:ascii="楷体" w:hAnsi="楷体" w:eastAsia="楷体" w:cs="楷体"/>
                <w:spacing w:val="6"/>
                <w:sz w:val="23"/>
                <w:szCs w:val="23"/>
              </w:rPr>
              <w:t>--此表为空--</w:t>
            </w:r>
          </w:p>
        </w:tc>
      </w:tr>
    </w:tbl>
    <w:p w14:paraId="5678A9C2">
      <w:pPr>
        <w:pStyle w:val="2"/>
      </w:pPr>
    </w:p>
    <w:p w14:paraId="7DB2BED4">
      <w:pPr>
        <w:sectPr>
          <w:footerReference r:id="rId59" w:type="default"/>
          <w:pgSz w:w="16835" w:h="11904"/>
          <w:pgMar w:top="1011" w:right="1991" w:bottom="1997" w:left="1871" w:header="0" w:footer="1630" w:gutter="0"/>
          <w:cols w:space="720" w:num="1"/>
        </w:sectPr>
      </w:pPr>
    </w:p>
    <w:p w14:paraId="43D7983E">
      <w:pPr>
        <w:pStyle w:val="2"/>
        <w:spacing w:line="241" w:lineRule="auto"/>
      </w:pPr>
    </w:p>
    <w:p w14:paraId="4667BF11">
      <w:pPr>
        <w:pStyle w:val="2"/>
        <w:spacing w:line="241" w:lineRule="auto"/>
      </w:pPr>
    </w:p>
    <w:p w14:paraId="1F918212">
      <w:pPr>
        <w:pStyle w:val="2"/>
        <w:spacing w:line="241" w:lineRule="auto"/>
      </w:pPr>
    </w:p>
    <w:p w14:paraId="0789AE9E">
      <w:pPr>
        <w:pStyle w:val="2"/>
        <w:spacing w:line="241" w:lineRule="auto"/>
      </w:pPr>
    </w:p>
    <w:p w14:paraId="22825293">
      <w:pPr>
        <w:pStyle w:val="2"/>
        <w:spacing w:line="241" w:lineRule="auto"/>
      </w:pPr>
    </w:p>
    <w:p w14:paraId="4160430E">
      <w:pPr>
        <w:pStyle w:val="2"/>
        <w:spacing w:line="241" w:lineRule="auto"/>
      </w:pPr>
    </w:p>
    <w:p w14:paraId="61B98EB2">
      <w:pPr>
        <w:pStyle w:val="2"/>
        <w:spacing w:line="241" w:lineRule="auto"/>
      </w:pPr>
    </w:p>
    <w:p w14:paraId="071A078E">
      <w:pPr>
        <w:pStyle w:val="2"/>
        <w:spacing w:line="241" w:lineRule="auto"/>
      </w:pPr>
    </w:p>
    <w:p w14:paraId="1748024A">
      <w:pPr>
        <w:pStyle w:val="2"/>
        <w:spacing w:line="241" w:lineRule="auto"/>
      </w:pPr>
    </w:p>
    <w:p w14:paraId="4A07BAAE">
      <w:pPr>
        <w:pStyle w:val="2"/>
        <w:spacing w:line="241" w:lineRule="auto"/>
      </w:pPr>
    </w:p>
    <w:p w14:paraId="204ACE96">
      <w:pPr>
        <w:pStyle w:val="2"/>
        <w:spacing w:line="241" w:lineRule="auto"/>
      </w:pPr>
    </w:p>
    <w:p w14:paraId="596BB454">
      <w:pPr>
        <w:pStyle w:val="2"/>
        <w:spacing w:line="241" w:lineRule="auto"/>
      </w:pPr>
    </w:p>
    <w:p w14:paraId="5FF67D9F">
      <w:pPr>
        <w:pStyle w:val="2"/>
        <w:spacing w:line="241" w:lineRule="auto"/>
      </w:pPr>
    </w:p>
    <w:p w14:paraId="3E998604">
      <w:pPr>
        <w:pStyle w:val="2"/>
        <w:spacing w:line="241" w:lineRule="auto"/>
      </w:pPr>
    </w:p>
    <w:p w14:paraId="3BEC56C9">
      <w:pPr>
        <w:pStyle w:val="2"/>
        <w:spacing w:line="241" w:lineRule="auto"/>
      </w:pPr>
    </w:p>
    <w:p w14:paraId="7B928D20">
      <w:pPr>
        <w:pStyle w:val="2"/>
        <w:spacing w:line="241" w:lineRule="auto"/>
      </w:pPr>
    </w:p>
    <w:p w14:paraId="3DE7D23D">
      <w:pPr>
        <w:pStyle w:val="2"/>
        <w:spacing w:line="241" w:lineRule="auto"/>
      </w:pPr>
    </w:p>
    <w:p w14:paraId="54F10136">
      <w:pPr>
        <w:pStyle w:val="2"/>
        <w:spacing w:line="241" w:lineRule="auto"/>
      </w:pPr>
    </w:p>
    <w:p w14:paraId="5C888494">
      <w:pPr>
        <w:pStyle w:val="2"/>
        <w:spacing w:line="241" w:lineRule="auto"/>
      </w:pPr>
    </w:p>
    <w:p w14:paraId="04C6DCE0">
      <w:pPr>
        <w:pStyle w:val="2"/>
        <w:spacing w:line="241" w:lineRule="auto"/>
      </w:pPr>
    </w:p>
    <w:p w14:paraId="44B1A738">
      <w:pPr>
        <w:pStyle w:val="2"/>
        <w:spacing w:line="242" w:lineRule="auto"/>
      </w:pPr>
    </w:p>
    <w:p w14:paraId="74C705A2">
      <w:pPr>
        <w:pStyle w:val="2"/>
        <w:spacing w:line="242" w:lineRule="auto"/>
      </w:pPr>
    </w:p>
    <w:p w14:paraId="4FD14FA1">
      <w:pPr>
        <w:pStyle w:val="2"/>
        <w:spacing w:line="242" w:lineRule="auto"/>
      </w:pPr>
    </w:p>
    <w:p w14:paraId="674D60E9">
      <w:pPr>
        <w:pStyle w:val="2"/>
        <w:spacing w:line="242" w:lineRule="auto"/>
      </w:pPr>
    </w:p>
    <w:p w14:paraId="7F31EB58">
      <w:pPr>
        <w:pStyle w:val="2"/>
        <w:spacing w:line="242" w:lineRule="auto"/>
      </w:pPr>
    </w:p>
    <w:p w14:paraId="28AD3C18">
      <w:pPr>
        <w:pStyle w:val="2"/>
        <w:spacing w:line="242" w:lineRule="auto"/>
      </w:pPr>
    </w:p>
    <w:p w14:paraId="0414D6E2">
      <w:pPr>
        <w:pStyle w:val="2"/>
        <w:spacing w:line="242" w:lineRule="auto"/>
      </w:pPr>
    </w:p>
    <w:p w14:paraId="72227F10">
      <w:pPr>
        <w:pStyle w:val="2"/>
        <w:spacing w:line="242" w:lineRule="auto"/>
      </w:pPr>
    </w:p>
    <w:p w14:paraId="4B2D40A9">
      <w:pPr>
        <w:pStyle w:val="2"/>
        <w:spacing w:line="242" w:lineRule="auto"/>
      </w:pPr>
    </w:p>
    <w:p w14:paraId="5DF0BDA6">
      <w:pPr>
        <w:pStyle w:val="2"/>
        <w:spacing w:line="242" w:lineRule="auto"/>
      </w:pPr>
    </w:p>
    <w:p w14:paraId="46001836">
      <w:pPr>
        <w:pStyle w:val="2"/>
        <w:spacing w:line="242" w:lineRule="auto"/>
      </w:pPr>
    </w:p>
    <w:p w14:paraId="70F451A6">
      <w:pPr>
        <w:pStyle w:val="2"/>
        <w:spacing w:line="242" w:lineRule="auto"/>
      </w:pPr>
    </w:p>
    <w:p w14:paraId="7B4C0A2F">
      <w:pPr>
        <w:pStyle w:val="2"/>
        <w:spacing w:line="242" w:lineRule="auto"/>
      </w:pPr>
    </w:p>
    <w:p w14:paraId="366EDE22">
      <w:pPr>
        <w:pStyle w:val="2"/>
        <w:spacing w:line="242" w:lineRule="auto"/>
      </w:pPr>
    </w:p>
    <w:p w14:paraId="34774B8B">
      <w:pPr>
        <w:pStyle w:val="2"/>
        <w:spacing w:line="242" w:lineRule="auto"/>
      </w:pPr>
    </w:p>
    <w:p w14:paraId="39B4AFCC">
      <w:pPr>
        <w:pStyle w:val="2"/>
        <w:spacing w:line="242" w:lineRule="auto"/>
      </w:pPr>
    </w:p>
    <w:p w14:paraId="4D669CFA">
      <w:pPr>
        <w:pStyle w:val="2"/>
        <w:spacing w:line="242" w:lineRule="auto"/>
      </w:pPr>
    </w:p>
    <w:p w14:paraId="5C46A5D8">
      <w:pPr>
        <w:pStyle w:val="2"/>
        <w:spacing w:line="242" w:lineRule="auto"/>
      </w:pPr>
    </w:p>
    <w:p w14:paraId="78B142A3">
      <w:pPr>
        <w:pStyle w:val="2"/>
        <w:spacing w:line="242" w:lineRule="auto"/>
      </w:pPr>
    </w:p>
    <w:p w14:paraId="23B07DFD">
      <w:pPr>
        <w:pStyle w:val="2"/>
        <w:spacing w:line="242" w:lineRule="auto"/>
      </w:pPr>
    </w:p>
    <w:p w14:paraId="7E200F3B">
      <w:pPr>
        <w:pStyle w:val="2"/>
        <w:spacing w:line="242" w:lineRule="auto"/>
      </w:pPr>
    </w:p>
    <w:p w14:paraId="5CB18E7B">
      <w:pPr>
        <w:pStyle w:val="2"/>
        <w:spacing w:line="242" w:lineRule="auto"/>
      </w:pPr>
    </w:p>
    <w:p w14:paraId="4AE7B5CA">
      <w:pPr>
        <w:pStyle w:val="2"/>
        <w:spacing w:line="242" w:lineRule="auto"/>
      </w:pPr>
    </w:p>
    <w:p w14:paraId="69719A6C">
      <w:pPr>
        <w:pStyle w:val="2"/>
        <w:spacing w:line="242" w:lineRule="auto"/>
      </w:pPr>
    </w:p>
    <w:p w14:paraId="737C5022">
      <w:pPr>
        <w:pStyle w:val="2"/>
        <w:spacing w:line="242" w:lineRule="auto"/>
      </w:pPr>
    </w:p>
    <w:p w14:paraId="5D53012D">
      <w:pPr>
        <w:pStyle w:val="2"/>
        <w:spacing w:line="242" w:lineRule="auto"/>
      </w:pPr>
    </w:p>
    <w:p w14:paraId="272E508E">
      <w:pPr>
        <w:pStyle w:val="2"/>
        <w:spacing w:line="242" w:lineRule="auto"/>
      </w:pPr>
    </w:p>
    <w:p w14:paraId="552501E5">
      <w:pPr>
        <w:pStyle w:val="2"/>
        <w:spacing w:line="242" w:lineRule="auto"/>
      </w:pPr>
    </w:p>
    <w:p w14:paraId="729D8F32">
      <w:pPr>
        <w:pStyle w:val="2"/>
        <w:spacing w:line="242" w:lineRule="auto"/>
      </w:pPr>
    </w:p>
    <w:p w14:paraId="0FDD199E">
      <w:pPr>
        <w:pStyle w:val="2"/>
        <w:spacing w:line="242" w:lineRule="auto"/>
      </w:pPr>
    </w:p>
    <w:p w14:paraId="60FE4DB5">
      <w:pPr>
        <w:spacing w:before="101" w:line="226" w:lineRule="auto"/>
        <w:ind w:left="13"/>
        <w:rPr>
          <w:rFonts w:ascii="宋体" w:hAnsi="宋体" w:eastAsia="宋体" w:cs="宋体"/>
          <w:sz w:val="31"/>
          <w:szCs w:val="31"/>
        </w:rPr>
      </w:pPr>
      <w:r>
        <w:pict>
          <v:shape id="_x0000_s1030" o:spid="_x0000_s1030" style="position:absolute;left:0pt;margin-left:0.35pt;margin-top:30.5pt;height:0.75pt;width:442.2pt;z-index:251661312;mso-width-relative:page;mso-height-relative:page;" filled="f" stroked="t" coordsize="8844,15" path="m0,7l8843,7e">
            <v:fill on="f" focussize="0,0"/>
            <v:stroke color="#000000" miterlimit="10" joinstyle="miter"/>
            <v:imagedata o:title=""/>
            <o:lock v:ext="edit"/>
          </v:shape>
        </w:pict>
      </w:r>
      <w:r>
        <w:rPr>
          <w:rFonts w:ascii="黑体" w:hAnsi="黑体" w:eastAsia="黑体" w:cs="黑体"/>
          <w:spacing w:val="7"/>
          <w:sz w:val="31"/>
          <w:szCs w:val="31"/>
        </w:rPr>
        <w:t>信息公开选项：</w:t>
      </w:r>
      <w:r>
        <w:rPr>
          <w:rFonts w:ascii="宋体" w:hAnsi="宋体" w:eastAsia="宋体" w:cs="宋体"/>
          <w:b/>
          <w:bCs/>
          <w:spacing w:val="7"/>
          <w:sz w:val="31"/>
          <w:szCs w:val="31"/>
        </w:rPr>
        <w:t>主动公开</w:t>
      </w:r>
    </w:p>
    <w:p w14:paraId="40CD082C">
      <w:pPr>
        <w:spacing w:before="241" w:line="218" w:lineRule="auto"/>
        <w:ind w:left="311"/>
        <w:rPr>
          <w:rFonts w:ascii="仿宋" w:hAnsi="仿宋" w:eastAsia="仿宋" w:cs="仿宋"/>
          <w:sz w:val="28"/>
          <w:szCs w:val="28"/>
        </w:rPr>
      </w:pPr>
      <w:r>
        <w:pict>
          <v:shape id="_x0000_s1031" o:spid="_x0000_s1031" style="position:absolute;left:0pt;margin-left:0.45pt;margin-top:29.95pt;height:0.75pt;width:442.2pt;z-index:251662336;mso-width-relative:page;mso-height-relative:page;" filled="f" stroked="t" coordsize="8844,15" path="m0,7l8843,7e">
            <v:fill on="f" focussize="0,0"/>
            <v:stroke color="#000000" miterlimit="10" joinstyle="miter"/>
            <v:imagedata o:title=""/>
            <o:lock v:ext="edit"/>
          </v:shape>
        </w:pict>
      </w:r>
      <w:r>
        <w:drawing>
          <wp:anchor distT="0" distB="0" distL="0" distR="0" simplePos="0" relativeHeight="251660288" behindDoc="0" locked="0" layoutInCell="1" allowOverlap="1">
            <wp:simplePos x="0" y="0"/>
            <wp:positionH relativeFrom="column">
              <wp:posOffset>3623310</wp:posOffset>
            </wp:positionH>
            <wp:positionV relativeFrom="paragraph">
              <wp:posOffset>486410</wp:posOffset>
            </wp:positionV>
            <wp:extent cx="1852930" cy="57912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71"/>
                    <a:stretch>
                      <a:fillRect/>
                    </a:stretch>
                  </pic:blipFill>
                  <pic:spPr>
                    <a:xfrm>
                      <a:off x="0" y="0"/>
                      <a:ext cx="1852746" cy="578982"/>
                    </a:xfrm>
                    <a:prstGeom prst="rect">
                      <a:avLst/>
                    </a:prstGeom>
                  </pic:spPr>
                </pic:pic>
              </a:graphicData>
            </a:graphic>
          </wp:anchor>
        </w:drawing>
      </w:r>
      <w:r>
        <w:rPr>
          <w:rFonts w:ascii="仿宋" w:hAnsi="仿宋" w:eastAsia="仿宋" w:cs="仿宋"/>
          <w:spacing w:val="-9"/>
          <w:sz w:val="28"/>
          <w:szCs w:val="28"/>
        </w:rPr>
        <w:t>阿坝州人民政府办公室</w:t>
      </w:r>
      <w:r>
        <w:rPr>
          <w:rFonts w:ascii="仿宋" w:hAnsi="仿宋" w:eastAsia="仿宋" w:cs="仿宋"/>
          <w:spacing w:val="1"/>
          <w:sz w:val="28"/>
          <w:szCs w:val="28"/>
        </w:rPr>
        <w:t xml:space="preserve">                   </w:t>
      </w:r>
      <w:r>
        <w:rPr>
          <w:rFonts w:ascii="仿宋" w:hAnsi="仿宋" w:eastAsia="仿宋" w:cs="仿宋"/>
          <w:spacing w:val="-9"/>
          <w:sz w:val="28"/>
          <w:szCs w:val="28"/>
        </w:rPr>
        <w:t>2023</w:t>
      </w:r>
      <w:r>
        <w:rPr>
          <w:rFonts w:ascii="仿宋" w:hAnsi="仿宋" w:eastAsia="仿宋" w:cs="仿宋"/>
          <w:spacing w:val="-46"/>
          <w:sz w:val="28"/>
          <w:szCs w:val="28"/>
        </w:rPr>
        <w:t xml:space="preserve"> </w:t>
      </w:r>
      <w:r>
        <w:rPr>
          <w:rFonts w:ascii="仿宋" w:hAnsi="仿宋" w:eastAsia="仿宋" w:cs="仿宋"/>
          <w:spacing w:val="-9"/>
          <w:sz w:val="28"/>
          <w:szCs w:val="28"/>
        </w:rPr>
        <w:t>年</w:t>
      </w:r>
      <w:r>
        <w:rPr>
          <w:rFonts w:ascii="仿宋" w:hAnsi="仿宋" w:eastAsia="仿宋" w:cs="仿宋"/>
          <w:spacing w:val="-50"/>
          <w:sz w:val="28"/>
          <w:szCs w:val="28"/>
        </w:rPr>
        <w:t xml:space="preserve"> </w:t>
      </w:r>
      <w:r>
        <w:rPr>
          <w:rFonts w:ascii="仿宋" w:hAnsi="仿宋" w:eastAsia="仿宋" w:cs="仿宋"/>
          <w:spacing w:val="-9"/>
          <w:sz w:val="28"/>
          <w:szCs w:val="28"/>
        </w:rPr>
        <w:t>2</w:t>
      </w:r>
      <w:r>
        <w:rPr>
          <w:rFonts w:ascii="仿宋" w:hAnsi="仿宋" w:eastAsia="仿宋" w:cs="仿宋"/>
          <w:spacing w:val="-45"/>
          <w:sz w:val="28"/>
          <w:szCs w:val="28"/>
        </w:rPr>
        <w:t xml:space="preserve"> </w:t>
      </w:r>
      <w:r>
        <w:rPr>
          <w:rFonts w:ascii="仿宋" w:hAnsi="仿宋" w:eastAsia="仿宋" w:cs="仿宋"/>
          <w:spacing w:val="-9"/>
          <w:sz w:val="28"/>
          <w:szCs w:val="28"/>
        </w:rPr>
        <w:t>月</w:t>
      </w:r>
      <w:r>
        <w:rPr>
          <w:rFonts w:ascii="仿宋" w:hAnsi="仿宋" w:eastAsia="仿宋" w:cs="仿宋"/>
          <w:spacing w:val="-51"/>
          <w:sz w:val="28"/>
          <w:szCs w:val="28"/>
        </w:rPr>
        <w:t xml:space="preserve"> </w:t>
      </w:r>
      <w:r>
        <w:rPr>
          <w:rFonts w:ascii="仿宋" w:hAnsi="仿宋" w:eastAsia="仿宋" w:cs="仿宋"/>
          <w:spacing w:val="-9"/>
          <w:sz w:val="28"/>
          <w:szCs w:val="28"/>
        </w:rPr>
        <w:t>28 日印发</w:t>
      </w:r>
    </w:p>
    <w:p w14:paraId="5FEA4CF0">
      <w:pPr>
        <w:spacing w:before="200" w:line="242" w:lineRule="auto"/>
        <w:ind w:left="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3"/>
          <w:sz w:val="28"/>
          <w:szCs w:val="28"/>
        </w:rPr>
        <w:t xml:space="preserve"> </w:t>
      </w:r>
      <w:r>
        <w:rPr>
          <w:rFonts w:ascii="宋体" w:hAnsi="宋体" w:eastAsia="宋体" w:cs="宋体"/>
          <w:spacing w:val="-6"/>
          <w:sz w:val="28"/>
          <w:szCs w:val="28"/>
        </w:rPr>
        <w:t>54</w:t>
      </w:r>
      <w:r>
        <w:rPr>
          <w:rFonts w:ascii="宋体" w:hAnsi="宋体" w:eastAsia="宋体" w:cs="宋体"/>
          <w:spacing w:val="10"/>
          <w:sz w:val="28"/>
          <w:szCs w:val="28"/>
        </w:rPr>
        <w:t xml:space="preserve"> </w:t>
      </w:r>
      <w:r>
        <w:rPr>
          <w:rFonts w:ascii="宋体" w:hAnsi="宋体" w:eastAsia="宋体" w:cs="宋体"/>
          <w:spacing w:val="-6"/>
          <w:sz w:val="28"/>
          <w:szCs w:val="28"/>
        </w:rPr>
        <w:t>-</w:t>
      </w:r>
    </w:p>
    <w:sectPr>
      <w:footerReference r:id="rId60" w:type="default"/>
      <w:pgSz w:w="11904" w:h="16835"/>
      <w:pgMar w:top="1430" w:right="1470" w:bottom="400" w:left="158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05F45">
    <w:pPr>
      <w:spacing w:line="236" w:lineRule="auto"/>
      <w:ind w:left="7629"/>
      <w:rPr>
        <w:rFonts w:ascii="宋体" w:hAnsi="宋体" w:eastAsia="宋体" w:cs="宋体"/>
        <w:sz w:val="28"/>
        <w:szCs w:val="28"/>
      </w:rPr>
    </w:pPr>
    <w:r>
      <w:rPr>
        <w:rFonts w:ascii="宋体" w:hAnsi="宋体" w:eastAsia="宋体" w:cs="宋体"/>
        <w:spacing w:val="-13"/>
        <w:sz w:val="28"/>
        <w:szCs w:val="28"/>
      </w:rPr>
      <w:t>-</w:t>
    </w:r>
    <w:r>
      <w:rPr>
        <w:rFonts w:ascii="宋体" w:hAnsi="宋体" w:eastAsia="宋体" w:cs="宋体"/>
        <w:spacing w:val="29"/>
        <w:sz w:val="28"/>
        <w:szCs w:val="28"/>
      </w:rPr>
      <w:t xml:space="preserve"> </w:t>
    </w:r>
    <w:r>
      <w:rPr>
        <w:rFonts w:ascii="宋体" w:hAnsi="宋体" w:eastAsia="宋体" w:cs="宋体"/>
        <w:spacing w:val="-13"/>
        <w:sz w:val="28"/>
        <w:szCs w:val="28"/>
      </w:rPr>
      <w:t>1</w:t>
    </w:r>
    <w:r>
      <w:rPr>
        <w:rFonts w:ascii="宋体" w:hAnsi="宋体" w:eastAsia="宋体" w:cs="宋体"/>
        <w:spacing w:val="5"/>
        <w:sz w:val="28"/>
        <w:szCs w:val="28"/>
      </w:rPr>
      <w:t xml:space="preserve"> </w:t>
    </w:r>
    <w:r>
      <w:rPr>
        <w:rFonts w:ascii="宋体" w:hAnsi="宋体" w:eastAsia="宋体" w:cs="宋体"/>
        <w:spacing w:val="-13"/>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E84F5">
    <w:pPr>
      <w:spacing w:line="235" w:lineRule="auto"/>
      <w:ind w:left="22"/>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8</w:t>
    </w:r>
    <w:r>
      <w:rPr>
        <w:rFonts w:ascii="宋体" w:hAnsi="宋体" w:eastAsia="宋体" w:cs="宋体"/>
        <w:spacing w:val="10"/>
        <w:sz w:val="28"/>
        <w:szCs w:val="28"/>
      </w:rPr>
      <w:t xml:space="preserve"> </w:t>
    </w:r>
    <w:r>
      <w:rPr>
        <w:rFonts w:ascii="宋体" w:hAnsi="宋体" w:eastAsia="宋体" w:cs="宋体"/>
        <w:spacing w:val="-6"/>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CC348">
    <w:pPr>
      <w:spacing w:line="235" w:lineRule="auto"/>
      <w:ind w:left="7629"/>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9</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DA343">
    <w:pPr>
      <w:spacing w:line="235" w:lineRule="auto"/>
      <w:ind w:left="2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0"/>
        <w:sz w:val="28"/>
        <w:szCs w:val="28"/>
      </w:rPr>
      <w:t xml:space="preserve"> </w:t>
    </w:r>
    <w:r>
      <w:rPr>
        <w:rFonts w:ascii="宋体" w:hAnsi="宋体" w:eastAsia="宋体" w:cs="宋体"/>
        <w:spacing w:val="-9"/>
        <w:sz w:val="28"/>
        <w:szCs w:val="28"/>
      </w:rPr>
      <w:t>10</w:t>
    </w:r>
    <w:r>
      <w:rPr>
        <w:rFonts w:ascii="宋体" w:hAnsi="宋体" w:eastAsia="宋体" w:cs="宋体"/>
        <w:spacing w:val="5"/>
        <w:sz w:val="28"/>
        <w:szCs w:val="28"/>
      </w:rPr>
      <w:t xml:space="preserve"> </w:t>
    </w:r>
    <w:r>
      <w:rPr>
        <w:rFonts w:ascii="宋体" w:hAnsi="宋体" w:eastAsia="宋体" w:cs="宋体"/>
        <w:spacing w:val="-9"/>
        <w:sz w:val="28"/>
        <w:szCs w:val="28"/>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BA82D">
    <w:pPr>
      <w:spacing w:line="236" w:lineRule="auto"/>
      <w:ind w:left="748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4"/>
        <w:sz w:val="28"/>
        <w:szCs w:val="28"/>
      </w:rPr>
      <w:t xml:space="preserve"> </w:t>
    </w:r>
    <w:r>
      <w:rPr>
        <w:rFonts w:ascii="宋体" w:hAnsi="宋体" w:eastAsia="宋体" w:cs="宋体"/>
        <w:spacing w:val="-10"/>
        <w:sz w:val="28"/>
        <w:szCs w:val="28"/>
      </w:rPr>
      <w:t>11</w:t>
    </w:r>
    <w:r>
      <w:rPr>
        <w:rFonts w:ascii="宋体" w:hAnsi="宋体" w:eastAsia="宋体" w:cs="宋体"/>
        <w:spacing w:val="5"/>
        <w:sz w:val="28"/>
        <w:szCs w:val="28"/>
      </w:rPr>
      <w:t xml:space="preserve"> </w:t>
    </w:r>
    <w:r>
      <w:rPr>
        <w:rFonts w:ascii="宋体" w:hAnsi="宋体" w:eastAsia="宋体" w:cs="宋体"/>
        <w:spacing w:val="-10"/>
        <w:sz w:val="28"/>
        <w:szCs w:val="28"/>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9593">
    <w:pPr>
      <w:spacing w:line="236" w:lineRule="auto"/>
      <w:ind w:left="2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0"/>
        <w:sz w:val="28"/>
        <w:szCs w:val="28"/>
      </w:rPr>
      <w:t xml:space="preserve"> </w:t>
    </w:r>
    <w:r>
      <w:rPr>
        <w:rFonts w:ascii="宋体" w:hAnsi="宋体" w:eastAsia="宋体" w:cs="宋体"/>
        <w:spacing w:val="-9"/>
        <w:sz w:val="28"/>
        <w:szCs w:val="28"/>
      </w:rPr>
      <w:t>12</w:t>
    </w:r>
    <w:r>
      <w:rPr>
        <w:rFonts w:ascii="宋体" w:hAnsi="宋体" w:eastAsia="宋体" w:cs="宋体"/>
        <w:spacing w:val="5"/>
        <w:sz w:val="28"/>
        <w:szCs w:val="28"/>
      </w:rPr>
      <w:t xml:space="preserve"> </w:t>
    </w:r>
    <w:r>
      <w:rPr>
        <w:rFonts w:ascii="宋体" w:hAnsi="宋体" w:eastAsia="宋体" w:cs="宋体"/>
        <w:spacing w:val="-9"/>
        <w:sz w:val="28"/>
        <w:szCs w:val="28"/>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4B40">
    <w:pPr>
      <w:spacing w:line="235" w:lineRule="auto"/>
      <w:ind w:right="6"/>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4"/>
        <w:sz w:val="28"/>
        <w:szCs w:val="28"/>
      </w:rPr>
      <w:t xml:space="preserve"> </w:t>
    </w:r>
    <w:r>
      <w:rPr>
        <w:rFonts w:ascii="宋体" w:hAnsi="宋体" w:eastAsia="宋体" w:cs="宋体"/>
        <w:spacing w:val="-10"/>
        <w:sz w:val="28"/>
        <w:szCs w:val="28"/>
      </w:rPr>
      <w:t>13</w:t>
    </w:r>
    <w:r>
      <w:rPr>
        <w:rFonts w:ascii="宋体" w:hAnsi="宋体" w:eastAsia="宋体" w:cs="宋体"/>
        <w:spacing w:val="5"/>
        <w:sz w:val="28"/>
        <w:szCs w:val="28"/>
      </w:rPr>
      <w:t xml:space="preserve"> </w:t>
    </w:r>
    <w:r>
      <w:rPr>
        <w:rFonts w:ascii="宋体" w:hAnsi="宋体" w:eastAsia="宋体" w:cs="宋体"/>
        <w:spacing w:val="-10"/>
        <w:sz w:val="28"/>
        <w:szCs w:val="28"/>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FEFF1">
    <w:pPr>
      <w:spacing w:line="236" w:lineRule="auto"/>
      <w:ind w:left="2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0"/>
        <w:sz w:val="28"/>
        <w:szCs w:val="28"/>
      </w:rPr>
      <w:t xml:space="preserve"> </w:t>
    </w:r>
    <w:r>
      <w:rPr>
        <w:rFonts w:ascii="宋体" w:hAnsi="宋体" w:eastAsia="宋体" w:cs="宋体"/>
        <w:spacing w:val="-9"/>
        <w:sz w:val="28"/>
        <w:szCs w:val="28"/>
      </w:rPr>
      <w:t>14</w:t>
    </w:r>
    <w:r>
      <w:rPr>
        <w:rFonts w:ascii="宋体" w:hAnsi="宋体" w:eastAsia="宋体" w:cs="宋体"/>
        <w:spacing w:val="5"/>
        <w:sz w:val="28"/>
        <w:szCs w:val="28"/>
      </w:rPr>
      <w:t xml:space="preserve"> </w:t>
    </w:r>
    <w:r>
      <w:rPr>
        <w:rFonts w:ascii="宋体" w:hAnsi="宋体" w:eastAsia="宋体" w:cs="宋体"/>
        <w:spacing w:val="-9"/>
        <w:sz w:val="28"/>
        <w:szCs w:val="28"/>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32E8D">
    <w:pPr>
      <w:spacing w:line="235" w:lineRule="auto"/>
      <w:ind w:right="6"/>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4"/>
        <w:sz w:val="28"/>
        <w:szCs w:val="28"/>
      </w:rPr>
      <w:t xml:space="preserve"> </w:t>
    </w:r>
    <w:r>
      <w:rPr>
        <w:rFonts w:ascii="宋体" w:hAnsi="宋体" w:eastAsia="宋体" w:cs="宋体"/>
        <w:spacing w:val="-10"/>
        <w:sz w:val="28"/>
        <w:szCs w:val="28"/>
      </w:rPr>
      <w:t>15</w:t>
    </w:r>
    <w:r>
      <w:rPr>
        <w:rFonts w:ascii="宋体" w:hAnsi="宋体" w:eastAsia="宋体" w:cs="宋体"/>
        <w:spacing w:val="5"/>
        <w:sz w:val="28"/>
        <w:szCs w:val="28"/>
      </w:rPr>
      <w:t xml:space="preserve"> </w:t>
    </w:r>
    <w:r>
      <w:rPr>
        <w:rFonts w:ascii="宋体" w:hAnsi="宋体" w:eastAsia="宋体" w:cs="宋体"/>
        <w:spacing w:val="-10"/>
        <w:sz w:val="28"/>
        <w:szCs w:val="2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4038F">
    <w:pPr>
      <w:spacing w:line="235" w:lineRule="auto"/>
      <w:ind w:left="22"/>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0"/>
        <w:sz w:val="28"/>
        <w:szCs w:val="28"/>
      </w:rPr>
      <w:t xml:space="preserve"> </w:t>
    </w:r>
    <w:r>
      <w:rPr>
        <w:rFonts w:ascii="宋体" w:hAnsi="宋体" w:eastAsia="宋体" w:cs="宋体"/>
        <w:spacing w:val="-9"/>
        <w:sz w:val="28"/>
        <w:szCs w:val="28"/>
      </w:rPr>
      <w:t>16</w:t>
    </w:r>
    <w:r>
      <w:rPr>
        <w:rFonts w:ascii="宋体" w:hAnsi="宋体" w:eastAsia="宋体" w:cs="宋体"/>
        <w:spacing w:val="5"/>
        <w:sz w:val="28"/>
        <w:szCs w:val="28"/>
      </w:rPr>
      <w:t xml:space="preserve"> </w:t>
    </w:r>
    <w:r>
      <w:rPr>
        <w:rFonts w:ascii="宋体" w:hAnsi="宋体" w:eastAsia="宋体" w:cs="宋体"/>
        <w:spacing w:val="-9"/>
        <w:sz w:val="28"/>
        <w:szCs w:val="2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020F8">
    <w:pPr>
      <w:spacing w:line="235" w:lineRule="auto"/>
      <w:ind w:left="7485"/>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4"/>
        <w:sz w:val="28"/>
        <w:szCs w:val="28"/>
      </w:rPr>
      <w:t xml:space="preserve"> </w:t>
    </w:r>
    <w:r>
      <w:rPr>
        <w:rFonts w:ascii="宋体" w:hAnsi="宋体" w:eastAsia="宋体" w:cs="宋体"/>
        <w:spacing w:val="-10"/>
        <w:sz w:val="28"/>
        <w:szCs w:val="28"/>
      </w:rPr>
      <w:t>17</w:t>
    </w:r>
    <w:r>
      <w:rPr>
        <w:rFonts w:ascii="宋体" w:hAnsi="宋体" w:eastAsia="宋体" w:cs="宋体"/>
        <w:spacing w:val="5"/>
        <w:sz w:val="28"/>
        <w:szCs w:val="28"/>
      </w:rPr>
      <w:t xml:space="preserve"> </w:t>
    </w:r>
    <w:r>
      <w:rPr>
        <w:rFonts w:ascii="宋体" w:hAnsi="宋体" w:eastAsia="宋体" w:cs="宋体"/>
        <w:spacing w:val="-1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02055">
    <w:pPr>
      <w:spacing w:line="236" w:lineRule="auto"/>
      <w:ind w:left="2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2</w:t>
    </w:r>
    <w:r>
      <w:rPr>
        <w:rFonts w:ascii="宋体" w:hAnsi="宋体" w:eastAsia="宋体" w:cs="宋体"/>
        <w:spacing w:val="10"/>
        <w:sz w:val="28"/>
        <w:szCs w:val="28"/>
      </w:rPr>
      <w:t xml:space="preserve"> </w:t>
    </w:r>
    <w:r>
      <w:rPr>
        <w:rFonts w:ascii="宋体" w:hAnsi="宋体" w:eastAsia="宋体" w:cs="宋体"/>
        <w:spacing w:val="-7"/>
        <w:sz w:val="28"/>
        <w:szCs w:val="28"/>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1E6C0">
    <w:pPr>
      <w:spacing w:line="235" w:lineRule="auto"/>
      <w:ind w:left="128"/>
      <w:rPr>
        <w:rFonts w:ascii="宋体" w:hAnsi="宋体" w:eastAsia="宋体" w:cs="宋体"/>
        <w:sz w:val="28"/>
        <w:szCs w:val="28"/>
      </w:rPr>
    </w:pPr>
    <w:r>
      <w:rPr>
        <w:rFonts w:ascii="宋体" w:hAnsi="宋体" w:eastAsia="宋体" w:cs="宋体"/>
        <w:spacing w:val="-9"/>
        <w:sz w:val="28"/>
        <w:szCs w:val="28"/>
      </w:rPr>
      <w:t>-</w:t>
    </w:r>
    <w:r>
      <w:rPr>
        <w:rFonts w:ascii="宋体" w:hAnsi="宋体" w:eastAsia="宋体" w:cs="宋体"/>
        <w:spacing w:val="30"/>
        <w:sz w:val="28"/>
        <w:szCs w:val="28"/>
      </w:rPr>
      <w:t xml:space="preserve"> </w:t>
    </w:r>
    <w:r>
      <w:rPr>
        <w:rFonts w:ascii="宋体" w:hAnsi="宋体" w:eastAsia="宋体" w:cs="宋体"/>
        <w:spacing w:val="-9"/>
        <w:sz w:val="28"/>
        <w:szCs w:val="28"/>
      </w:rPr>
      <w:t>18</w:t>
    </w:r>
    <w:r>
      <w:rPr>
        <w:rFonts w:ascii="宋体" w:hAnsi="宋体" w:eastAsia="宋体" w:cs="宋体"/>
        <w:spacing w:val="5"/>
        <w:sz w:val="28"/>
        <w:szCs w:val="28"/>
      </w:rPr>
      <w:t xml:space="preserve"> </w:t>
    </w:r>
    <w:r>
      <w:rPr>
        <w:rFonts w:ascii="宋体" w:hAnsi="宋体" w:eastAsia="宋体" w:cs="宋体"/>
        <w:spacing w:val="-9"/>
        <w:sz w:val="28"/>
        <w:szCs w:val="28"/>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A734F">
    <w:pPr>
      <w:spacing w:line="235" w:lineRule="auto"/>
      <w:ind w:right="39"/>
      <w:jc w:val="right"/>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4"/>
        <w:sz w:val="28"/>
        <w:szCs w:val="28"/>
      </w:rPr>
      <w:t xml:space="preserve"> </w:t>
    </w:r>
    <w:r>
      <w:rPr>
        <w:rFonts w:ascii="宋体" w:hAnsi="宋体" w:eastAsia="宋体" w:cs="宋体"/>
        <w:spacing w:val="-10"/>
        <w:sz w:val="28"/>
        <w:szCs w:val="28"/>
      </w:rPr>
      <w:t>19</w:t>
    </w:r>
    <w:r>
      <w:rPr>
        <w:rFonts w:ascii="宋体" w:hAnsi="宋体" w:eastAsia="宋体" w:cs="宋体"/>
        <w:spacing w:val="5"/>
        <w:sz w:val="28"/>
        <w:szCs w:val="28"/>
      </w:rPr>
      <w:t xml:space="preserve"> </w:t>
    </w:r>
    <w:r>
      <w:rPr>
        <w:rFonts w:ascii="宋体" w:hAnsi="宋体" w:eastAsia="宋体" w:cs="宋体"/>
        <w:spacing w:val="-10"/>
        <w:sz w:val="28"/>
        <w:szCs w:val="28"/>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1373F">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20</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DBF54">
    <w:pPr>
      <w:spacing w:line="236" w:lineRule="auto"/>
      <w:ind w:right="6"/>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21</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C67E">
    <w:pPr>
      <w:spacing w:line="236"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22</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98458">
    <w:pPr>
      <w:spacing w:line="235" w:lineRule="auto"/>
      <w:ind w:right="39"/>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23</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89509">
    <w:pPr>
      <w:spacing w:line="236" w:lineRule="auto"/>
      <w:ind w:left="23"/>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24</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C73B4">
    <w:pPr>
      <w:spacing w:line="235" w:lineRule="auto"/>
      <w:ind w:left="7650"/>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25</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1BAA5">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26</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D3406">
    <w:pPr>
      <w:spacing w:line="235" w:lineRule="auto"/>
      <w:ind w:right="18"/>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27</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DB918">
    <w:pPr>
      <w:spacing w:line="236" w:lineRule="auto"/>
      <w:ind w:right="6"/>
      <w:jc w:val="right"/>
      <w:rPr>
        <w:rFonts w:ascii="宋体" w:hAnsi="宋体" w:eastAsia="宋体" w:cs="宋体"/>
        <w:sz w:val="28"/>
        <w:szCs w:val="28"/>
      </w:rPr>
    </w:pPr>
    <w:r>
      <w:rPr>
        <w:rFonts w:ascii="宋体" w:hAnsi="宋体" w:eastAsia="宋体" w:cs="宋体"/>
        <w:spacing w:val="-13"/>
        <w:sz w:val="28"/>
        <w:szCs w:val="28"/>
      </w:rPr>
      <w:t>-</w:t>
    </w:r>
    <w:r>
      <w:rPr>
        <w:rFonts w:ascii="宋体" w:hAnsi="宋体" w:eastAsia="宋体" w:cs="宋体"/>
        <w:spacing w:val="29"/>
        <w:sz w:val="28"/>
        <w:szCs w:val="28"/>
      </w:rPr>
      <w:t xml:space="preserve"> </w:t>
    </w:r>
    <w:r>
      <w:rPr>
        <w:rFonts w:ascii="宋体" w:hAnsi="宋体" w:eastAsia="宋体" w:cs="宋体"/>
        <w:spacing w:val="-13"/>
        <w:sz w:val="28"/>
        <w:szCs w:val="28"/>
      </w:rPr>
      <w:t>1</w:t>
    </w:r>
    <w:r>
      <w:rPr>
        <w:rFonts w:ascii="宋体" w:hAnsi="宋体" w:eastAsia="宋体" w:cs="宋体"/>
        <w:spacing w:val="5"/>
        <w:sz w:val="28"/>
        <w:szCs w:val="28"/>
      </w:rPr>
      <w:t xml:space="preserve"> </w:t>
    </w:r>
    <w:r>
      <w:rPr>
        <w:rFonts w:ascii="宋体" w:hAnsi="宋体" w:eastAsia="宋体" w:cs="宋体"/>
        <w:spacing w:val="-13"/>
        <w:sz w:val="28"/>
        <w:szCs w:val="28"/>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3ECC5">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28</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741A0">
    <w:pPr>
      <w:spacing w:line="235" w:lineRule="auto"/>
      <w:ind w:right="6"/>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29</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8A6F2">
    <w:pPr>
      <w:spacing w:line="235" w:lineRule="auto"/>
      <w:ind w:left="128"/>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30</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BBE6">
    <w:pPr>
      <w:spacing w:line="235" w:lineRule="auto"/>
      <w:ind w:right="14"/>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31</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8E56D">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32</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576CD">
    <w:pPr>
      <w:spacing w:line="235" w:lineRule="auto"/>
      <w:ind w:right="6"/>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33</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3F563">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34</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0BC22">
    <w:pPr>
      <w:spacing w:line="235" w:lineRule="auto"/>
      <w:ind w:left="748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35</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A2CB1">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36</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0A44">
    <w:pPr>
      <w:spacing w:line="235" w:lineRule="auto"/>
      <w:ind w:right="10"/>
      <w:jc w:val="right"/>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37</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02055">
    <w:pPr>
      <w:spacing w:line="236" w:lineRule="auto"/>
      <w:ind w:left="22"/>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2</w:t>
    </w:r>
    <w:r>
      <w:rPr>
        <w:rFonts w:ascii="宋体" w:hAnsi="宋体" w:eastAsia="宋体" w:cs="宋体"/>
        <w:spacing w:val="10"/>
        <w:sz w:val="28"/>
        <w:szCs w:val="28"/>
      </w:rPr>
      <w:t xml:space="preserve"> </w:t>
    </w:r>
    <w:r>
      <w:rPr>
        <w:rFonts w:ascii="宋体" w:hAnsi="宋体" w:eastAsia="宋体" w:cs="宋体"/>
        <w:spacing w:val="-7"/>
        <w:sz w:val="28"/>
        <w:szCs w:val="28"/>
      </w:rPr>
      <w:t>-</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C2AA5">
    <w:pPr>
      <w:spacing w:line="235" w:lineRule="auto"/>
      <w:ind w:left="22"/>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38</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8CB7E">
    <w:pPr>
      <w:spacing w:line="235" w:lineRule="auto"/>
      <w:ind w:left="7485"/>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8"/>
        <w:sz w:val="28"/>
        <w:szCs w:val="28"/>
      </w:rPr>
      <w:t xml:space="preserve"> </w:t>
    </w:r>
    <w:r>
      <w:rPr>
        <w:rFonts w:ascii="宋体" w:hAnsi="宋体" w:eastAsia="宋体" w:cs="宋体"/>
        <w:spacing w:val="-6"/>
        <w:sz w:val="28"/>
        <w:szCs w:val="28"/>
      </w:rPr>
      <w:t>39</w:t>
    </w:r>
    <w:r>
      <w:rPr>
        <w:rFonts w:ascii="宋体" w:hAnsi="宋体" w:eastAsia="宋体" w:cs="宋体"/>
        <w:spacing w:val="5"/>
        <w:sz w:val="28"/>
        <w:szCs w:val="28"/>
      </w:rPr>
      <w:t xml:space="preserve"> </w:t>
    </w:r>
    <w:r>
      <w:rPr>
        <w:rFonts w:ascii="宋体" w:hAnsi="宋体" w:eastAsia="宋体" w:cs="宋体"/>
        <w:spacing w:val="-6"/>
        <w:sz w:val="28"/>
        <w:szCs w:val="28"/>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6DF5B">
    <w:pPr>
      <w:spacing w:line="235" w:lineRule="auto"/>
      <w:ind w:left="22"/>
      <w:rPr>
        <w:rFonts w:ascii="宋体" w:hAnsi="宋体" w:eastAsia="宋体" w:cs="宋体"/>
        <w:sz w:val="28"/>
        <w:szCs w:val="28"/>
      </w:rPr>
    </w:pPr>
    <w:r>
      <w:rPr>
        <w:rFonts w:ascii="宋体" w:hAnsi="宋体" w:eastAsia="宋体" w:cs="宋体"/>
        <w:spacing w:val="-3"/>
        <w:sz w:val="28"/>
        <w:szCs w:val="28"/>
      </w:rPr>
      <w:t>-</w:t>
    </w:r>
    <w:r>
      <w:rPr>
        <w:rFonts w:ascii="宋体" w:hAnsi="宋体" w:eastAsia="宋体" w:cs="宋体"/>
        <w:spacing w:val="6"/>
        <w:sz w:val="28"/>
        <w:szCs w:val="28"/>
      </w:rPr>
      <w:t xml:space="preserve"> </w:t>
    </w:r>
    <w:r>
      <w:rPr>
        <w:rFonts w:ascii="宋体" w:hAnsi="宋体" w:eastAsia="宋体" w:cs="宋体"/>
        <w:spacing w:val="-3"/>
        <w:sz w:val="28"/>
        <w:szCs w:val="28"/>
      </w:rPr>
      <w:t>40</w:t>
    </w:r>
    <w:r>
      <w:rPr>
        <w:rFonts w:ascii="宋体" w:hAnsi="宋体" w:eastAsia="宋体" w:cs="宋体"/>
        <w:spacing w:val="5"/>
        <w:sz w:val="28"/>
        <w:szCs w:val="28"/>
      </w:rPr>
      <w:t xml:space="preserve"> </w:t>
    </w:r>
    <w:r>
      <w:rPr>
        <w:rFonts w:ascii="宋体" w:hAnsi="宋体" w:eastAsia="宋体" w:cs="宋体"/>
        <w:spacing w:val="-3"/>
        <w:sz w:val="28"/>
        <w:szCs w:val="28"/>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D248">
    <w:pPr>
      <w:spacing w:line="236" w:lineRule="auto"/>
      <w:ind w:right="6"/>
      <w:jc w:val="right"/>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41</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08F8F">
    <w:pPr>
      <w:spacing w:line="236" w:lineRule="auto"/>
      <w:ind w:left="22"/>
      <w:rPr>
        <w:rFonts w:ascii="宋体" w:hAnsi="宋体" w:eastAsia="宋体" w:cs="宋体"/>
        <w:sz w:val="28"/>
        <w:szCs w:val="28"/>
      </w:rPr>
    </w:pPr>
    <w:r>
      <w:rPr>
        <w:rFonts w:ascii="宋体" w:hAnsi="宋体" w:eastAsia="宋体" w:cs="宋体"/>
        <w:spacing w:val="-3"/>
        <w:sz w:val="28"/>
        <w:szCs w:val="28"/>
      </w:rPr>
      <w:t>-</w:t>
    </w:r>
    <w:r>
      <w:rPr>
        <w:rFonts w:ascii="宋体" w:hAnsi="宋体" w:eastAsia="宋体" w:cs="宋体"/>
        <w:spacing w:val="6"/>
        <w:sz w:val="28"/>
        <w:szCs w:val="28"/>
      </w:rPr>
      <w:t xml:space="preserve"> </w:t>
    </w:r>
    <w:r>
      <w:rPr>
        <w:rFonts w:ascii="宋体" w:hAnsi="宋体" w:eastAsia="宋体" w:cs="宋体"/>
        <w:spacing w:val="-3"/>
        <w:sz w:val="28"/>
        <w:szCs w:val="28"/>
      </w:rPr>
      <w:t>42</w:t>
    </w:r>
    <w:r>
      <w:rPr>
        <w:rFonts w:ascii="宋体" w:hAnsi="宋体" w:eastAsia="宋体" w:cs="宋体"/>
        <w:spacing w:val="5"/>
        <w:sz w:val="28"/>
        <w:szCs w:val="28"/>
      </w:rPr>
      <w:t xml:space="preserve"> </w:t>
    </w:r>
    <w:r>
      <w:rPr>
        <w:rFonts w:ascii="宋体" w:hAnsi="宋体" w:eastAsia="宋体" w:cs="宋体"/>
        <w:spacing w:val="-3"/>
        <w:sz w:val="28"/>
        <w:szCs w:val="28"/>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3F658">
    <w:pPr>
      <w:spacing w:line="235" w:lineRule="auto"/>
      <w:ind w:right="2"/>
      <w:jc w:val="right"/>
      <w:rPr>
        <w:rFonts w:ascii="宋体" w:hAnsi="宋体" w:eastAsia="宋体" w:cs="宋体"/>
        <w:sz w:val="28"/>
        <w:szCs w:val="28"/>
      </w:rPr>
    </w:pPr>
    <w:r>
      <w:rPr>
        <w:rFonts w:ascii="宋体" w:hAnsi="宋体" w:eastAsia="宋体" w:cs="宋体"/>
        <w:spacing w:val="-3"/>
        <w:sz w:val="28"/>
        <w:szCs w:val="28"/>
      </w:rPr>
      <w:t>-</w:t>
    </w:r>
    <w:r>
      <w:rPr>
        <w:rFonts w:ascii="宋体" w:hAnsi="宋体" w:eastAsia="宋体" w:cs="宋体"/>
        <w:spacing w:val="6"/>
        <w:sz w:val="28"/>
        <w:szCs w:val="28"/>
      </w:rPr>
      <w:t xml:space="preserve"> </w:t>
    </w:r>
    <w:r>
      <w:rPr>
        <w:rFonts w:ascii="宋体" w:hAnsi="宋体" w:eastAsia="宋体" w:cs="宋体"/>
        <w:spacing w:val="-3"/>
        <w:sz w:val="28"/>
        <w:szCs w:val="28"/>
      </w:rPr>
      <w:t>43</w:t>
    </w:r>
    <w:r>
      <w:rPr>
        <w:rFonts w:ascii="宋体" w:hAnsi="宋体" w:eastAsia="宋体" w:cs="宋体"/>
        <w:spacing w:val="5"/>
        <w:sz w:val="28"/>
        <w:szCs w:val="28"/>
      </w:rPr>
      <w:t xml:space="preserve"> </w:t>
    </w:r>
    <w:r>
      <w:rPr>
        <w:rFonts w:ascii="宋体" w:hAnsi="宋体" w:eastAsia="宋体" w:cs="宋体"/>
        <w:spacing w:val="-3"/>
        <w:sz w:val="28"/>
        <w:szCs w:val="28"/>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BE865">
    <w:pPr>
      <w:spacing w:line="236" w:lineRule="auto"/>
      <w:ind w:left="18"/>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44</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1AB0C">
    <w:pPr>
      <w:spacing w:line="235" w:lineRule="auto"/>
      <w:ind w:left="1323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9"/>
        <w:sz w:val="28"/>
        <w:szCs w:val="28"/>
      </w:rPr>
      <w:t xml:space="preserve"> </w:t>
    </w:r>
    <w:r>
      <w:rPr>
        <w:rFonts w:ascii="宋体" w:hAnsi="宋体" w:eastAsia="宋体" w:cs="宋体"/>
        <w:spacing w:val="-5"/>
        <w:sz w:val="28"/>
        <w:szCs w:val="28"/>
      </w:rPr>
      <w:t>45</w:t>
    </w:r>
    <w:r>
      <w:rPr>
        <w:rFonts w:ascii="宋体" w:hAnsi="宋体" w:eastAsia="宋体" w:cs="宋体"/>
        <w:spacing w:val="10"/>
        <w:sz w:val="28"/>
        <w:szCs w:val="28"/>
      </w:rPr>
      <w:t xml:space="preserve"> </w:t>
    </w:r>
    <w:r>
      <w:rPr>
        <w:rFonts w:ascii="宋体" w:hAnsi="宋体" w:eastAsia="宋体" w:cs="宋体"/>
        <w:spacing w:val="-5"/>
        <w:sz w:val="28"/>
        <w:szCs w:val="28"/>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E9259">
    <w:pPr>
      <w:spacing w:line="235" w:lineRule="auto"/>
      <w:ind w:left="123"/>
      <w:rPr>
        <w:rFonts w:ascii="宋体" w:hAnsi="宋体" w:eastAsia="宋体" w:cs="宋体"/>
        <w:sz w:val="28"/>
        <w:szCs w:val="28"/>
      </w:rPr>
    </w:pPr>
    <w:r>
      <w:rPr>
        <w:rFonts w:ascii="宋体" w:hAnsi="宋体" w:eastAsia="宋体" w:cs="宋体"/>
        <w:spacing w:val="-3"/>
        <w:sz w:val="28"/>
        <w:szCs w:val="28"/>
      </w:rPr>
      <w:t>-</w:t>
    </w:r>
    <w:r>
      <w:rPr>
        <w:rFonts w:ascii="宋体" w:hAnsi="宋体" w:eastAsia="宋体" w:cs="宋体"/>
        <w:spacing w:val="6"/>
        <w:sz w:val="28"/>
        <w:szCs w:val="28"/>
      </w:rPr>
      <w:t xml:space="preserve"> </w:t>
    </w:r>
    <w:r>
      <w:rPr>
        <w:rFonts w:ascii="宋体" w:hAnsi="宋体" w:eastAsia="宋体" w:cs="宋体"/>
        <w:spacing w:val="-3"/>
        <w:sz w:val="28"/>
        <w:szCs w:val="28"/>
      </w:rPr>
      <w:t>46</w:t>
    </w:r>
    <w:r>
      <w:rPr>
        <w:rFonts w:ascii="宋体" w:hAnsi="宋体" w:eastAsia="宋体" w:cs="宋体"/>
        <w:spacing w:val="5"/>
        <w:sz w:val="28"/>
        <w:szCs w:val="28"/>
      </w:rPr>
      <w:t xml:space="preserve"> </w:t>
    </w:r>
    <w:r>
      <w:rPr>
        <w:rFonts w:ascii="宋体" w:hAnsi="宋体" w:eastAsia="宋体" w:cs="宋体"/>
        <w:spacing w:val="-3"/>
        <w:sz w:val="28"/>
        <w:szCs w:val="28"/>
      </w:rPr>
      <w:t>-</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CB688">
    <w:pPr>
      <w:spacing w:line="235" w:lineRule="auto"/>
      <w:ind w:left="13186"/>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9"/>
        <w:sz w:val="28"/>
        <w:szCs w:val="28"/>
      </w:rPr>
      <w:t xml:space="preserve"> </w:t>
    </w:r>
    <w:r>
      <w:rPr>
        <w:rFonts w:ascii="宋体" w:hAnsi="宋体" w:eastAsia="宋体" w:cs="宋体"/>
        <w:spacing w:val="-5"/>
        <w:sz w:val="28"/>
        <w:szCs w:val="28"/>
      </w:rPr>
      <w:t>47</w:t>
    </w:r>
    <w:r>
      <w:rPr>
        <w:rFonts w:ascii="宋体" w:hAnsi="宋体" w:eastAsia="宋体" w:cs="宋体"/>
        <w:spacing w:val="10"/>
        <w:sz w:val="28"/>
        <w:szCs w:val="28"/>
      </w:rPr>
      <w:t xml:space="preserve"> </w:t>
    </w:r>
    <w:r>
      <w:rPr>
        <w:rFonts w:ascii="宋体" w:hAnsi="宋体" w:eastAsia="宋体" w:cs="宋体"/>
        <w:spacing w:val="-5"/>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08F8E">
    <w:pPr>
      <w:spacing w:line="235" w:lineRule="auto"/>
      <w:ind w:right="6"/>
      <w:jc w:val="right"/>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3</w:t>
    </w:r>
    <w:r>
      <w:rPr>
        <w:rFonts w:ascii="宋体" w:hAnsi="宋体" w:eastAsia="宋体" w:cs="宋体"/>
        <w:spacing w:val="5"/>
        <w:sz w:val="28"/>
        <w:szCs w:val="28"/>
      </w:rPr>
      <w:t xml:space="preserve"> </w:t>
    </w:r>
    <w:r>
      <w:rPr>
        <w:rFonts w:ascii="宋体" w:hAnsi="宋体" w:eastAsia="宋体" w:cs="宋体"/>
        <w:spacing w:val="-8"/>
        <w:sz w:val="28"/>
        <w:szCs w:val="28"/>
      </w:rPr>
      <w:t>-</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99A39">
    <w:pPr>
      <w:spacing w:line="235" w:lineRule="auto"/>
      <w:ind w:left="344"/>
      <w:rPr>
        <w:rFonts w:ascii="宋体" w:hAnsi="宋体" w:eastAsia="宋体" w:cs="宋体"/>
        <w:sz w:val="28"/>
        <w:szCs w:val="28"/>
      </w:rPr>
    </w:pPr>
    <w:r>
      <w:rPr>
        <w:rFonts w:ascii="宋体" w:hAnsi="宋体" w:eastAsia="宋体" w:cs="宋体"/>
        <w:spacing w:val="-3"/>
        <w:sz w:val="28"/>
        <w:szCs w:val="28"/>
      </w:rPr>
      <w:t>-</w:t>
    </w:r>
    <w:r>
      <w:rPr>
        <w:rFonts w:ascii="宋体" w:hAnsi="宋体" w:eastAsia="宋体" w:cs="宋体"/>
        <w:spacing w:val="6"/>
        <w:sz w:val="28"/>
        <w:szCs w:val="28"/>
      </w:rPr>
      <w:t xml:space="preserve"> </w:t>
    </w:r>
    <w:r>
      <w:rPr>
        <w:rFonts w:ascii="宋体" w:hAnsi="宋体" w:eastAsia="宋体" w:cs="宋体"/>
        <w:spacing w:val="-3"/>
        <w:sz w:val="28"/>
        <w:szCs w:val="28"/>
      </w:rPr>
      <w:t>48</w:t>
    </w:r>
    <w:r>
      <w:rPr>
        <w:rFonts w:ascii="宋体" w:hAnsi="宋体" w:eastAsia="宋体" w:cs="宋体"/>
        <w:spacing w:val="5"/>
        <w:sz w:val="28"/>
        <w:szCs w:val="28"/>
      </w:rPr>
      <w:t xml:space="preserve"> </w:t>
    </w:r>
    <w:r>
      <w:rPr>
        <w:rFonts w:ascii="宋体" w:hAnsi="宋体" w:eastAsia="宋体" w:cs="宋体"/>
        <w:spacing w:val="-3"/>
        <w:sz w:val="28"/>
        <w:szCs w:val="28"/>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C956">
    <w:pPr>
      <w:spacing w:line="235" w:lineRule="auto"/>
      <w:ind w:left="13239"/>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9"/>
        <w:sz w:val="28"/>
        <w:szCs w:val="28"/>
      </w:rPr>
      <w:t xml:space="preserve"> </w:t>
    </w:r>
    <w:r>
      <w:rPr>
        <w:rFonts w:ascii="宋体" w:hAnsi="宋体" w:eastAsia="宋体" w:cs="宋体"/>
        <w:spacing w:val="-5"/>
        <w:sz w:val="28"/>
        <w:szCs w:val="28"/>
      </w:rPr>
      <w:t>49</w:t>
    </w:r>
    <w:r>
      <w:rPr>
        <w:rFonts w:ascii="宋体" w:hAnsi="宋体" w:eastAsia="宋体" w:cs="宋体"/>
        <w:spacing w:val="10"/>
        <w:sz w:val="28"/>
        <w:szCs w:val="28"/>
      </w:rPr>
      <w:t xml:space="preserve"> </w:t>
    </w:r>
    <w:r>
      <w:rPr>
        <w:rFonts w:ascii="宋体" w:hAnsi="宋体" w:eastAsia="宋体" w:cs="宋体"/>
        <w:spacing w:val="-5"/>
        <w:sz w:val="28"/>
        <w:szCs w:val="28"/>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3527D">
    <w:pPr>
      <w:spacing w:line="235" w:lineRule="auto"/>
      <w:ind w:left="123"/>
      <w:rPr>
        <w:rFonts w:ascii="宋体" w:hAnsi="宋体" w:eastAsia="宋体" w:cs="宋体"/>
        <w:sz w:val="28"/>
        <w:szCs w:val="28"/>
      </w:rPr>
    </w:pPr>
    <w:r>
      <w:rPr>
        <w:rFonts w:ascii="宋体" w:hAnsi="宋体" w:eastAsia="宋体" w:cs="宋体"/>
        <w:spacing w:val="-5"/>
        <w:sz w:val="28"/>
        <w:szCs w:val="28"/>
      </w:rPr>
      <w:t>-</w:t>
    </w:r>
    <w:r>
      <w:rPr>
        <w:rFonts w:ascii="宋体" w:hAnsi="宋体" w:eastAsia="宋体" w:cs="宋体"/>
        <w:spacing w:val="14"/>
        <w:sz w:val="28"/>
        <w:szCs w:val="28"/>
      </w:rPr>
      <w:t xml:space="preserve"> </w:t>
    </w:r>
    <w:r>
      <w:rPr>
        <w:rFonts w:ascii="宋体" w:hAnsi="宋体" w:eastAsia="宋体" w:cs="宋体"/>
        <w:spacing w:val="-5"/>
        <w:sz w:val="28"/>
        <w:szCs w:val="28"/>
      </w:rPr>
      <w:t>50</w:t>
    </w:r>
    <w:r>
      <w:rPr>
        <w:rFonts w:ascii="宋体" w:hAnsi="宋体" w:eastAsia="宋体" w:cs="宋体"/>
        <w:spacing w:val="5"/>
        <w:sz w:val="28"/>
        <w:szCs w:val="28"/>
      </w:rPr>
      <w:t xml:space="preserve"> </w:t>
    </w:r>
    <w:r>
      <w:rPr>
        <w:rFonts w:ascii="宋体" w:hAnsi="宋体" w:eastAsia="宋体" w:cs="宋体"/>
        <w:spacing w:val="-5"/>
        <w:sz w:val="28"/>
        <w:szCs w:val="28"/>
      </w:rPr>
      <w:t>-</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50299">
    <w:pPr>
      <w:spacing w:line="235" w:lineRule="auto"/>
      <w:ind w:left="13450"/>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3"/>
        <w:sz w:val="28"/>
        <w:szCs w:val="28"/>
      </w:rPr>
      <w:t xml:space="preserve"> </w:t>
    </w:r>
    <w:r>
      <w:rPr>
        <w:rFonts w:ascii="宋体" w:hAnsi="宋体" w:eastAsia="宋体" w:cs="宋体"/>
        <w:spacing w:val="-6"/>
        <w:sz w:val="28"/>
        <w:szCs w:val="28"/>
      </w:rPr>
      <w:t>51</w:t>
    </w:r>
    <w:r>
      <w:rPr>
        <w:rFonts w:ascii="宋体" w:hAnsi="宋体" w:eastAsia="宋体" w:cs="宋体"/>
        <w:spacing w:val="10"/>
        <w:sz w:val="28"/>
        <w:szCs w:val="28"/>
      </w:rPr>
      <w:t xml:space="preserve"> </w:t>
    </w:r>
    <w:r>
      <w:rPr>
        <w:rFonts w:ascii="宋体" w:hAnsi="宋体" w:eastAsia="宋体" w:cs="宋体"/>
        <w:spacing w:val="-6"/>
        <w:sz w:val="28"/>
        <w:szCs w:val="28"/>
      </w:rPr>
      <w:t>-</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F9F81">
    <w:pPr>
      <w:pStyle w:val="2"/>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8023">
    <w:pPr>
      <w:spacing w:line="235" w:lineRule="auto"/>
      <w:ind w:left="12034"/>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13"/>
        <w:sz w:val="28"/>
        <w:szCs w:val="28"/>
      </w:rPr>
      <w:t xml:space="preserve"> </w:t>
    </w:r>
    <w:r>
      <w:rPr>
        <w:rFonts w:ascii="宋体" w:hAnsi="宋体" w:eastAsia="宋体" w:cs="宋体"/>
        <w:spacing w:val="-6"/>
        <w:sz w:val="28"/>
        <w:szCs w:val="28"/>
      </w:rPr>
      <w:t>53</w:t>
    </w:r>
    <w:r>
      <w:rPr>
        <w:rFonts w:ascii="宋体" w:hAnsi="宋体" w:eastAsia="宋体" w:cs="宋体"/>
        <w:spacing w:val="10"/>
        <w:sz w:val="28"/>
        <w:szCs w:val="28"/>
      </w:rPr>
      <w:t xml:space="preserve"> </w:t>
    </w:r>
    <w:r>
      <w:rPr>
        <w:rFonts w:ascii="宋体" w:hAnsi="宋体" w:eastAsia="宋体" w:cs="宋体"/>
        <w:spacing w:val="-6"/>
        <w:sz w:val="28"/>
        <w:szCs w:val="28"/>
      </w:rPr>
      <w:t>-</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F9F81">
    <w:pPr>
      <w:pStyle w:val="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FF8EB">
    <w:pPr>
      <w:spacing w:line="236" w:lineRule="auto"/>
      <w:ind w:left="533"/>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10"/>
        <w:sz w:val="28"/>
        <w:szCs w:val="28"/>
      </w:rPr>
      <w:t xml:space="preserve"> </w:t>
    </w:r>
    <w:r>
      <w:rPr>
        <w:rFonts w:ascii="宋体" w:hAnsi="宋体" w:eastAsia="宋体" w:cs="宋体"/>
        <w:spacing w:val="-6"/>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9B344">
    <w:pPr>
      <w:spacing w:line="235" w:lineRule="auto"/>
      <w:ind w:right="41"/>
      <w:jc w:val="right"/>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5</w:t>
    </w:r>
    <w:r>
      <w:rPr>
        <w:rFonts w:ascii="宋体" w:hAnsi="宋体" w:eastAsia="宋体" w:cs="宋体"/>
        <w:spacing w:val="5"/>
        <w:sz w:val="28"/>
        <w:szCs w:val="28"/>
      </w:rPr>
      <w:t xml:space="preserve"> </w:t>
    </w:r>
    <w:r>
      <w:rPr>
        <w:rFonts w:ascii="宋体" w:hAnsi="宋体" w:eastAsia="宋体" w:cs="宋体"/>
        <w:spacing w:val="-8"/>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A69EF">
    <w:pPr>
      <w:spacing w:line="235" w:lineRule="auto"/>
      <w:ind w:left="578"/>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1"/>
        <w:sz w:val="28"/>
        <w:szCs w:val="28"/>
      </w:rPr>
      <w:t xml:space="preserve"> </w:t>
    </w:r>
    <w:r>
      <w:rPr>
        <w:rFonts w:ascii="宋体" w:hAnsi="宋体" w:eastAsia="宋体" w:cs="宋体"/>
        <w:spacing w:val="-7"/>
        <w:sz w:val="28"/>
        <w:szCs w:val="28"/>
      </w:rPr>
      <w:t>6</w:t>
    </w:r>
    <w:r>
      <w:rPr>
        <w:rFonts w:ascii="宋体" w:hAnsi="宋体" w:eastAsia="宋体" w:cs="宋体"/>
        <w:spacing w:val="10"/>
        <w:sz w:val="28"/>
        <w:szCs w:val="28"/>
      </w:rPr>
      <w:t xml:space="preserve"> </w:t>
    </w:r>
    <w:r>
      <w:rPr>
        <w:rFonts w:ascii="宋体" w:hAnsi="宋体" w:eastAsia="宋体" w:cs="宋体"/>
        <w:spacing w:val="-7"/>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0E696">
    <w:pPr>
      <w:spacing w:line="235" w:lineRule="auto"/>
      <w:ind w:right="6"/>
      <w:jc w:val="right"/>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4"/>
        <w:sz w:val="28"/>
        <w:szCs w:val="28"/>
      </w:rPr>
      <w:t xml:space="preserve"> </w:t>
    </w:r>
    <w:r>
      <w:rPr>
        <w:rFonts w:ascii="宋体" w:hAnsi="宋体" w:eastAsia="宋体" w:cs="宋体"/>
        <w:spacing w:val="-8"/>
        <w:sz w:val="28"/>
        <w:szCs w:val="28"/>
      </w:rPr>
      <w:t>7</w:t>
    </w:r>
    <w:r>
      <w:rPr>
        <w:rFonts w:ascii="宋体" w:hAnsi="宋体" w:eastAsia="宋体" w:cs="宋体"/>
        <w:spacing w:val="5"/>
        <w:sz w:val="28"/>
        <w:szCs w:val="28"/>
      </w:rPr>
      <w:t xml:space="preserve"> </w:t>
    </w:r>
    <w:r>
      <w:rPr>
        <w:rFonts w:ascii="宋体" w:hAnsi="宋体" w:eastAsia="宋体" w:cs="宋体"/>
        <w:spacing w:val="-8"/>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7AC2990"/>
    <w:rsid w:val="28C354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3" Type="http://schemas.openxmlformats.org/officeDocument/2006/relationships/fontTable" Target="fontTable.xml"/><Relationship Id="rId72" Type="http://schemas.openxmlformats.org/officeDocument/2006/relationships/customXml" Target="../customXml/item1.xml"/><Relationship Id="rId71" Type="http://schemas.openxmlformats.org/officeDocument/2006/relationships/image" Target="media/image10.jpeg"/><Relationship Id="rId70" Type="http://schemas.openxmlformats.org/officeDocument/2006/relationships/image" Target="media/image9.png"/><Relationship Id="rId7" Type="http://schemas.openxmlformats.org/officeDocument/2006/relationships/footer" Target="footer3.xml"/><Relationship Id="rId69" Type="http://schemas.openxmlformats.org/officeDocument/2006/relationships/image" Target="media/image8.png"/><Relationship Id="rId68" Type="http://schemas.openxmlformats.org/officeDocument/2006/relationships/image" Target="media/image7.png"/><Relationship Id="rId67" Type="http://schemas.openxmlformats.org/officeDocument/2006/relationships/image" Target="media/image6.png"/><Relationship Id="rId66" Type="http://schemas.openxmlformats.org/officeDocument/2006/relationships/image" Target="media/image5.png"/><Relationship Id="rId65" Type="http://schemas.openxmlformats.org/officeDocument/2006/relationships/image" Target="media/image4.png"/><Relationship Id="rId64" Type="http://schemas.openxmlformats.org/officeDocument/2006/relationships/image" Target="media/image3.png"/><Relationship Id="rId63" Type="http://schemas.openxmlformats.org/officeDocument/2006/relationships/image" Target="media/image2.jpeg"/><Relationship Id="rId62" Type="http://schemas.openxmlformats.org/officeDocument/2006/relationships/image" Target="media/image1.png"/><Relationship Id="rId61" Type="http://schemas.openxmlformats.org/officeDocument/2006/relationships/theme" Target="theme/theme1.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8"/>
    <customShpInfo spid="_x0000_s1029"/>
    <customShpInfo spid="_x0000_s1027"/>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59</Pages>
  <Words>4975</Words>
  <Characters>5441</Characters>
  <TotalTime>0</TotalTime>
  <ScaleCrop>false</ScaleCrop>
  <LinksUpToDate>false</LinksUpToDate>
  <CharactersWithSpaces>5967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2026-07-28T09:14:00Z</dcterms:created>
  <dc:creator>黄寿全</dc:creator>
  <cp:lastModifiedBy>一个笨蛋</cp:lastModifiedBy>
  <dcterms:modified xsi:type="dcterms:W3CDTF">2026-07-28T01:20:25Z</dcterms:modified>
  <dc:title>阿坝藏族羌族自治州矿产资源</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2026-07-28T09:15:36Z</vt:filetime>
  </property>
  <property fmtid="{D5CDD505-2E9C-101B-9397-08002B2CF9AE}" pid="4" name="KSOTemplateDocerSaveRecord">
    <vt:lpwstr>eyJoZGlkIjoiYjllZGNkZWEzYjg0NDNmNTQ5MjkzNjk0ODlhNmVkYzAiLCJ1c2VySWQiOiI0MTAxMDQ4MDkifQ==</vt:lpwstr>
  </property>
  <property fmtid="{D5CDD505-2E9C-101B-9397-08002B2CF9AE}" pid="5" name="KSOProductBuildVer">
    <vt:lpwstr>2052-12.1.0.26895</vt:lpwstr>
  </property>
  <property fmtid="{D5CDD505-2E9C-101B-9397-08002B2CF9AE}" pid="6" name="ICV">
    <vt:lpwstr>5535F94DDBEE4653AB074204B567888F_12</vt:lpwstr>
  </property>
</Properties>
</file>